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DDA" w:rsidRPr="007478CE" w:rsidRDefault="00634374" w:rsidP="00503DDA">
      <w:pPr>
        <w:ind w:firstLineChars="0" w:firstLine="0"/>
        <w:jc w:val="center"/>
        <w:rPr>
          <w:rFonts w:ascii="方正小标宋简体" w:eastAsia="方正小标宋简体" w:hAnsi="仿宋" w:cs="仿宋"/>
          <w:bCs/>
          <w:sz w:val="36"/>
          <w:szCs w:val="36"/>
        </w:rPr>
      </w:pPr>
      <w:r w:rsidRPr="00634374">
        <w:rPr>
          <w:rFonts w:ascii="方正小标宋简体" w:eastAsia="方正小标宋简体" w:hAnsi="仿宋" w:cs="仿宋" w:hint="eastAsia"/>
          <w:bCs/>
          <w:sz w:val="36"/>
          <w:szCs w:val="36"/>
        </w:rPr>
        <w:t>启元</w:t>
      </w:r>
      <w:r w:rsidR="00503DDA">
        <w:rPr>
          <w:rFonts w:ascii="方正小标宋简体" w:eastAsia="方正小标宋简体" w:hAnsi="仿宋" w:cs="仿宋" w:hint="eastAsia"/>
          <w:bCs/>
          <w:sz w:val="36"/>
          <w:szCs w:val="36"/>
        </w:rPr>
        <w:t>套环达人机器人技能挑战赛竞赛规则</w:t>
      </w:r>
    </w:p>
    <w:p w:rsidR="00A7206D" w:rsidRPr="00503DDA" w:rsidRDefault="00077BEC">
      <w:p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int="eastAsia"/>
          <w:sz w:val="32"/>
          <w:szCs w:val="32"/>
        </w:rPr>
        <w:t>一、竞赛场地</w:t>
      </w:r>
    </w:p>
    <w:p w:rsidR="00A7206D" w:rsidRPr="00503DDA" w:rsidRDefault="00077BEC" w:rsidP="001D674B">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  比赛在图1所示的场地上进行。在比赛中，两台操作手控制的机器人组成联队一起完成一场比赛的任务。</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w:t>
      </w:r>
      <w:r w:rsidR="008563C4" w:rsidRPr="00503DDA">
        <w:rPr>
          <w:rFonts w:ascii="仿宋_GB2312" w:eastAsia="仿宋_GB2312" w:hint="eastAsia"/>
          <w:sz w:val="32"/>
          <w:szCs w:val="32"/>
        </w:rPr>
        <w:t>比赛的目标是通过如下方式尽可能获得高分：把得分环放在地面得分区、在挂杆上放置同色圆环，清空挂环桩，释放圆环托盘内的圆环</w:t>
      </w:r>
      <w:r w:rsidRPr="00503DDA">
        <w:rPr>
          <w:rFonts w:ascii="仿宋_GB2312" w:eastAsia="仿宋_GB2312" w:hint="eastAsia"/>
          <w:sz w:val="32"/>
          <w:szCs w:val="32"/>
        </w:rPr>
        <w:t>。</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noProof/>
          <w:sz w:val="32"/>
          <w:szCs w:val="32"/>
        </w:rPr>
        <w:drawing>
          <wp:inline distT="0" distB="0" distL="0" distR="0" wp14:anchorId="44F6C7B4" wp14:editId="4A581371">
            <wp:extent cx="5234305" cy="2642235"/>
            <wp:effectExtent l="0" t="0" r="444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34305" cy="2642235"/>
                    </a:xfrm>
                    <a:prstGeom prst="rect">
                      <a:avLst/>
                    </a:prstGeom>
                    <a:noFill/>
                    <a:ln>
                      <a:noFill/>
                    </a:ln>
                  </pic:spPr>
                </pic:pic>
              </a:graphicData>
            </a:graphic>
          </wp:inline>
        </w:drawing>
      </w:r>
    </w:p>
    <w:p w:rsidR="00A7206D" w:rsidRDefault="00077BEC">
      <w:pPr>
        <w:adjustRightInd w:val="0"/>
        <w:snapToGrid w:val="0"/>
        <w:spacing w:before="0" w:beforeAutospacing="0" w:after="0" w:afterAutospacing="0"/>
        <w:ind w:firstLineChars="0" w:firstLine="0"/>
        <w:jc w:val="center"/>
        <w:rPr>
          <w:rFonts w:ascii="仿宋_GB2312" w:eastAsia="仿宋_GB2312"/>
          <w:sz w:val="32"/>
          <w:szCs w:val="32"/>
        </w:rPr>
      </w:pPr>
      <w:r w:rsidRPr="00503DDA">
        <w:rPr>
          <w:rFonts w:ascii="仿宋_GB2312" w:eastAsia="仿宋_GB2312" w:hint="eastAsia"/>
          <w:sz w:val="32"/>
          <w:szCs w:val="32"/>
        </w:rPr>
        <w:t>图1  比赛开始时场地的形态</w:t>
      </w:r>
    </w:p>
    <w:p w:rsidR="00A80362" w:rsidRPr="00A80362" w:rsidRDefault="00A80362">
      <w:pPr>
        <w:adjustRightInd w:val="0"/>
        <w:snapToGrid w:val="0"/>
        <w:spacing w:before="0" w:beforeAutospacing="0" w:after="0" w:afterAutospacing="0"/>
        <w:ind w:firstLineChars="0" w:firstLine="0"/>
        <w:jc w:val="center"/>
        <w:rPr>
          <w:rFonts w:ascii="仿宋_GB2312" w:eastAsia="仿宋_GB2312"/>
          <w:sz w:val="32"/>
          <w:szCs w:val="32"/>
        </w:rPr>
      </w:pP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   每场VEX IQ“套环达人”比赛有下列物品：</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3.1  60圆环</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3.2  红、蓝、绿色，每种20个</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3.3  比赛开始前，15个圆环在圆环托盘中</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lastRenderedPageBreak/>
        <w:t>3.4  9个圆环在挂环桩上</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3.5  36个圆环在场上的指定位置</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3.6  1个地面得分区</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3.7  4根低柱</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3.8  2根平柱</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3.9  1根高柱</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3.10  3个挂环桩</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hAnsiTheme="minorEastAsia" w:cstheme="minorEastAsia"/>
          <w:sz w:val="32"/>
          <w:szCs w:val="32"/>
        </w:rPr>
      </w:pPr>
      <w:r w:rsidRPr="00503DDA">
        <w:rPr>
          <w:rFonts w:ascii="仿宋_GB2312" w:eastAsia="仿宋_GB2312" w:hAnsiTheme="minorEastAsia" w:cstheme="minorEastAsia" w:hint="eastAsia"/>
          <w:sz w:val="32"/>
          <w:szCs w:val="32"/>
        </w:rPr>
        <w:t>3.11  1个圆环托盘</w:t>
      </w:r>
    </w:p>
    <w:p w:rsidR="00A7206D" w:rsidRPr="00503DDA" w:rsidRDefault="00A7206D">
      <w:pPr>
        <w:adjustRightInd w:val="0"/>
        <w:snapToGrid w:val="0"/>
        <w:spacing w:before="0" w:beforeAutospacing="0" w:after="0" w:afterAutospacing="0"/>
        <w:ind w:firstLineChars="0" w:firstLine="0"/>
        <w:jc w:val="left"/>
        <w:rPr>
          <w:rFonts w:ascii="仿宋_GB2312" w:eastAsia="仿宋_GB2312"/>
          <w:sz w:val="32"/>
          <w:szCs w:val="32"/>
        </w:rPr>
      </w:pP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noProof/>
          <w:sz w:val="32"/>
          <w:szCs w:val="32"/>
        </w:rPr>
        <w:drawing>
          <wp:inline distT="0" distB="0" distL="0" distR="0" wp14:anchorId="2FEEA1BB" wp14:editId="70BF47F1">
            <wp:extent cx="5234305" cy="357124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34305" cy="3571240"/>
                    </a:xfrm>
                    <a:prstGeom prst="rect">
                      <a:avLst/>
                    </a:prstGeom>
                    <a:noFill/>
                    <a:ln>
                      <a:noFill/>
                    </a:ln>
                  </pic:spPr>
                </pic:pic>
              </a:graphicData>
            </a:graphic>
          </wp:inline>
        </w:drawing>
      </w:r>
    </w:p>
    <w:p w:rsidR="00A7206D" w:rsidRPr="00503DDA" w:rsidRDefault="00077BEC">
      <w:pPr>
        <w:adjustRightInd w:val="0"/>
        <w:snapToGrid w:val="0"/>
        <w:spacing w:before="0" w:beforeAutospacing="0" w:after="0" w:afterAutospacing="0"/>
        <w:ind w:firstLineChars="0" w:firstLine="0"/>
        <w:jc w:val="center"/>
        <w:rPr>
          <w:rFonts w:ascii="仿宋_GB2312" w:eastAsia="仿宋_GB2312"/>
          <w:sz w:val="32"/>
          <w:szCs w:val="32"/>
        </w:rPr>
      </w:pPr>
      <w:r w:rsidRPr="00503DDA">
        <w:rPr>
          <w:rFonts w:ascii="仿宋_GB2312" w:eastAsia="仿宋_GB2312" w:hint="eastAsia"/>
          <w:sz w:val="32"/>
          <w:szCs w:val="32"/>
        </w:rPr>
        <w:t>图2  比赛场地顶视图</w:t>
      </w:r>
    </w:p>
    <w:p w:rsidR="00A7206D" w:rsidRPr="00503DDA" w:rsidRDefault="00A7206D">
      <w:pPr>
        <w:adjustRightInd w:val="0"/>
        <w:snapToGrid w:val="0"/>
        <w:spacing w:before="0" w:beforeAutospacing="0" w:after="0" w:afterAutospacing="0"/>
        <w:ind w:firstLineChars="0" w:firstLine="0"/>
        <w:jc w:val="left"/>
        <w:rPr>
          <w:rFonts w:ascii="仿宋_GB2312" w:eastAsia="仿宋_GB2312"/>
          <w:sz w:val="32"/>
          <w:szCs w:val="32"/>
        </w:rPr>
      </w:pPr>
    </w:p>
    <w:p w:rsidR="00A7206D" w:rsidRPr="00503DDA" w:rsidRDefault="00077BEC">
      <w:p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int="eastAsia"/>
          <w:sz w:val="32"/>
          <w:szCs w:val="32"/>
        </w:rPr>
        <w:t>二、定义</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lastRenderedPageBreak/>
        <w:t>1  联队</w:t>
      </w:r>
      <w:r w:rsidR="00CB5A1E" w:rsidRPr="00503DDA">
        <w:rPr>
          <w:rFonts w:ascii="仿宋_GB2312" w:eastAsia="仿宋_GB2312" w:hint="eastAsia"/>
          <w:sz w:val="32"/>
          <w:szCs w:val="32"/>
        </w:rPr>
        <w:t>——</w:t>
      </w:r>
      <w:r w:rsidRPr="00503DDA">
        <w:rPr>
          <w:rFonts w:ascii="仿宋_GB2312" w:eastAsia="仿宋_GB2312" w:hint="eastAsia"/>
          <w:sz w:val="32"/>
          <w:szCs w:val="32"/>
        </w:rPr>
        <w:t>预先指定的在一场团队协作比赛中共同工作的两支参赛队的组合。</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  联队得分</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在团队协作比赛中两队所获得的分数。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  圆环托盘</w:t>
      </w:r>
      <w:r w:rsidR="00CB5A1E" w:rsidRPr="00503DDA">
        <w:rPr>
          <w:rFonts w:ascii="仿宋_GB2312" w:eastAsia="仿宋_GB2312" w:hint="eastAsia"/>
          <w:sz w:val="32"/>
          <w:szCs w:val="32"/>
        </w:rPr>
        <w:t>——</w:t>
      </w:r>
      <w:r w:rsidRPr="00503DDA">
        <w:rPr>
          <w:rFonts w:ascii="仿宋_GB2312" w:eastAsia="仿宋_GB2312" w:hint="eastAsia"/>
          <w:sz w:val="32"/>
          <w:szCs w:val="32"/>
        </w:rPr>
        <w:t>VEX IQ零件组成的结构，装在场地围栏一端，尺寸约15英（381mm）宽、3英寸（76mm）深。比赛开始时，圆环托盘上有15个圆环，机器人打开闩锁，就可以取下圆环得分。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4  禁</w:t>
      </w:r>
      <w:r w:rsidRPr="00503DDA">
        <w:rPr>
          <w:rFonts w:hint="eastAsia"/>
          <w:sz w:val="32"/>
          <w:szCs w:val="32"/>
        </w:rPr>
        <w:t>賽</w:t>
      </w:r>
      <w:r w:rsidR="00CB5A1E" w:rsidRPr="00503DDA">
        <w:rPr>
          <w:rFonts w:ascii="仿宋_GB2312" w:eastAsia="仿宋_GB2312" w:hint="eastAsia"/>
          <w:sz w:val="32"/>
          <w:szCs w:val="32"/>
        </w:rPr>
        <w:t>——</w:t>
      </w:r>
      <w:r w:rsidRPr="00503DDA">
        <w:rPr>
          <w:rFonts w:ascii="仿宋_GB2312" w:eastAsia="仿宋_GB2312" w:hint="eastAsia"/>
          <w:sz w:val="32"/>
          <w:szCs w:val="32"/>
        </w:rPr>
        <w:t>对违规的参赛队给予的处罚。在禁赛期间，参赛队不得操作其机器人，操作手应将控制器放在地上。</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5  取消比赛资格</w:t>
      </w:r>
      <w:r w:rsidR="00CB5A1E" w:rsidRPr="00503DDA">
        <w:rPr>
          <w:rFonts w:ascii="仿宋_GB2312" w:eastAsia="仿宋_GB2312" w:hint="eastAsia"/>
          <w:sz w:val="32"/>
          <w:szCs w:val="32"/>
        </w:rPr>
        <w:t>——</w:t>
      </w:r>
      <w:r w:rsidRPr="00503DDA">
        <w:rPr>
          <w:rFonts w:ascii="仿宋_GB2312" w:eastAsia="仿宋_GB2312" w:hint="eastAsia"/>
          <w:sz w:val="32"/>
          <w:szCs w:val="32"/>
        </w:rPr>
        <w:t>对违规的参赛队给予的处罚。参赛队在比赛中被取消比赛资格，得分为0。主裁判可酌定取消重复犯规和被取消比赛资格的某支参赛队在整个赛事中的参赛资格。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6  操作手</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在比赛中负责操作和控制机器人的学生队员。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7  操作手控制</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机器人在学生操作手控制下运行。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8  清空</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如果挂环桩的任何部分不在圆环外缘确定的范围内，它就被清空了。（没有圆环包围或环绕着挂环桩周围）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9  场地要素</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场地围栏、地面、立柱、挂环桩、圆环托盘和任何支撑结构。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10  地面</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比赛场地围栏内的部分。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11  地面得分区</w:t>
      </w:r>
      <w:r w:rsidR="00CB5A1E" w:rsidRPr="00503DDA">
        <w:rPr>
          <w:rFonts w:ascii="仿宋_GB2312" w:eastAsia="仿宋_GB2312" w:hint="eastAsia"/>
          <w:sz w:val="32"/>
          <w:szCs w:val="32"/>
        </w:rPr>
        <w:t>——</w:t>
      </w:r>
      <w:r w:rsidRPr="00503DDA">
        <w:rPr>
          <w:rFonts w:ascii="仿宋_GB2312" w:eastAsia="仿宋_GB2312" w:hint="eastAsia"/>
          <w:sz w:val="32"/>
          <w:szCs w:val="32"/>
        </w:rPr>
        <w:t>场地围栏内沿和在立柱支撑结构下贯</w:t>
      </w:r>
      <w:r w:rsidRPr="00503DDA">
        <w:rPr>
          <w:rFonts w:ascii="仿宋_GB2312" w:eastAsia="仿宋_GB2312" w:hint="eastAsia"/>
          <w:sz w:val="32"/>
          <w:szCs w:val="32"/>
        </w:rPr>
        <w:lastRenderedPageBreak/>
        <w:t xml:space="preserve">穿整个场地全长的黑线所划定的地面的一部分。黑线和立柱的支撑结构是地面得分区的一部分。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12  高柱</w:t>
      </w:r>
      <w:r w:rsidR="00CB5A1E" w:rsidRPr="00503DDA">
        <w:rPr>
          <w:rFonts w:ascii="仿宋_GB2312" w:eastAsia="仿宋_GB2312" w:hint="eastAsia"/>
          <w:sz w:val="32"/>
          <w:szCs w:val="32"/>
        </w:rPr>
        <w:t>——</w:t>
      </w:r>
      <w:r w:rsidRPr="00503DDA">
        <w:rPr>
          <w:rFonts w:ascii="仿宋_GB2312" w:eastAsia="仿宋_GB2312" w:hint="eastAsia"/>
          <w:sz w:val="32"/>
          <w:szCs w:val="32"/>
        </w:rPr>
        <w:t>装在场地和支撑结构上的1根垂直PVC管，直径约为1英寸（25 mm），总高约20英寸（508mm）。</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13  平柱</w:t>
      </w:r>
      <w:r w:rsidR="00CB5A1E" w:rsidRPr="00503DDA">
        <w:rPr>
          <w:rFonts w:ascii="仿宋_GB2312" w:eastAsia="仿宋_GB2312" w:hint="eastAsia"/>
          <w:sz w:val="32"/>
          <w:szCs w:val="32"/>
        </w:rPr>
        <w:t>——</w:t>
      </w:r>
      <w:r w:rsidRPr="00503DDA">
        <w:rPr>
          <w:rFonts w:ascii="仿宋_GB2312" w:eastAsia="仿宋_GB2312" w:hint="eastAsia"/>
          <w:sz w:val="32"/>
          <w:szCs w:val="32"/>
        </w:rPr>
        <w:t>装在场地和支撑结构上、用VEX IQ结构件组装的一对水平柱子，有2组，直径约为1英寸（25mm），起始高度8英寸（203mm）和14英寸（356mm）， 总长4英寸（108mm）。</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14  闩锁</w:t>
      </w:r>
      <w:r w:rsidR="00CB5A1E" w:rsidRPr="00503DDA">
        <w:rPr>
          <w:rFonts w:ascii="仿宋_GB2312" w:eastAsia="仿宋_GB2312" w:hint="eastAsia"/>
          <w:sz w:val="32"/>
          <w:szCs w:val="32"/>
        </w:rPr>
        <w:t>——</w:t>
      </w:r>
      <w:r w:rsidRPr="00503DDA">
        <w:rPr>
          <w:rFonts w:ascii="仿宋_GB2312" w:eastAsia="仿宋_GB2312" w:hint="eastAsia"/>
          <w:sz w:val="32"/>
          <w:szCs w:val="32"/>
        </w:rPr>
        <w:t>装在圆环托盘上保持圆环位置的2个装置。两个闩锁均被打开后，托盘上的圆环就被释放出来。</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15  低柱</w:t>
      </w:r>
      <w:r w:rsidR="00CB5A1E" w:rsidRPr="00503DDA">
        <w:rPr>
          <w:rFonts w:ascii="仿宋_GB2312" w:eastAsia="仿宋_GB2312" w:hint="eastAsia"/>
          <w:sz w:val="32"/>
          <w:szCs w:val="32"/>
        </w:rPr>
        <w:t>——</w:t>
      </w:r>
      <w:r w:rsidRPr="00503DDA">
        <w:rPr>
          <w:rFonts w:ascii="仿宋_GB2312" w:eastAsia="仿宋_GB2312" w:hint="eastAsia"/>
          <w:sz w:val="32"/>
          <w:szCs w:val="32"/>
        </w:rPr>
        <w:t>装在场地和支撑结构上的垂直PVC管，有4根，直径约为1英寸（25 mm），总高约10英寸（254mm）。</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16  立柱</w:t>
      </w:r>
      <w:r w:rsidR="00CB5A1E" w:rsidRPr="00503DDA">
        <w:rPr>
          <w:rFonts w:ascii="仿宋_GB2312" w:eastAsia="仿宋_GB2312" w:hint="eastAsia"/>
          <w:sz w:val="32"/>
          <w:szCs w:val="32"/>
        </w:rPr>
        <w:t>——</w:t>
      </w:r>
      <w:r w:rsidRPr="00503DDA">
        <w:rPr>
          <w:rFonts w:ascii="仿宋_GB2312" w:eastAsia="仿宋_GB2312" w:hint="eastAsia"/>
          <w:sz w:val="32"/>
          <w:szCs w:val="32"/>
        </w:rPr>
        <w:t>低柱、高柱或平柱。</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17  释放</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打开两个闩锁，使圆环托盘里没有圆环（也就是说，圆环托盘清空了），托盘就被释放了。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18  圆环</w:t>
      </w:r>
      <w:r w:rsidR="00CB5A1E" w:rsidRPr="00503DDA">
        <w:rPr>
          <w:rFonts w:ascii="仿宋_GB2312" w:eastAsia="仿宋_GB2312" w:hint="eastAsia"/>
          <w:sz w:val="32"/>
          <w:szCs w:val="32"/>
        </w:rPr>
        <w:t>——</w:t>
      </w:r>
      <w:r w:rsidRPr="00503DDA">
        <w:rPr>
          <w:rFonts w:ascii="仿宋_GB2312" w:eastAsia="仿宋_GB2312" w:hint="eastAsia"/>
          <w:sz w:val="32"/>
          <w:szCs w:val="32"/>
        </w:rPr>
        <w:t>红色、蓝色或绿色的塑料环形得分物品，外径3英寸（76mm），“孔”径2英寸（51mm），高1英寸（25mm）。</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19  机器人</w:t>
      </w:r>
      <w:r w:rsidR="00CB5A1E" w:rsidRPr="00503DDA">
        <w:rPr>
          <w:rFonts w:ascii="仿宋_GB2312" w:eastAsia="仿宋_GB2312" w:hint="eastAsia"/>
          <w:sz w:val="32"/>
          <w:szCs w:val="32"/>
        </w:rPr>
        <w:t>——</w:t>
      </w:r>
      <w:r w:rsidRPr="00503DDA">
        <w:rPr>
          <w:rFonts w:ascii="仿宋_GB2312" w:eastAsia="仿宋_GB2312" w:hint="eastAsia"/>
          <w:sz w:val="32"/>
          <w:szCs w:val="32"/>
        </w:rPr>
        <w:t xml:space="preserve">比赛开始前，参赛队放在场上的已通过检查的任何东西。 </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20  得分</w:t>
      </w:r>
      <w:r w:rsidR="00CB5A1E" w:rsidRPr="00503DDA">
        <w:rPr>
          <w:rFonts w:ascii="仿宋_GB2312" w:eastAsia="仿宋_GB2312" w:hint="eastAsia"/>
          <w:sz w:val="32"/>
          <w:szCs w:val="32"/>
        </w:rPr>
        <w:t>——</w:t>
      </w:r>
      <w:r w:rsidRPr="00503DDA">
        <w:rPr>
          <w:rFonts w:ascii="仿宋_GB2312" w:eastAsia="仿宋_GB2312" w:hint="eastAsia"/>
          <w:sz w:val="32"/>
          <w:szCs w:val="32"/>
        </w:rPr>
        <w:t>如果圆环与机器人没有接触，且满足下列条件之一，它就得分：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lastRenderedPageBreak/>
        <w:t>20.1  圆环在地面得分区内；</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20.2  立柱的任何部分在圆环外缘划定的容积内（即，圆环包围或环绕 在立柱周围）。</w:t>
      </w:r>
      <w:r w:rsidRPr="00503DDA">
        <w:rPr>
          <w:rFonts w:ascii="仿宋_GB2312" w:eastAsia="仿宋_GB2312" w:hint="eastAsia"/>
          <w:noProof/>
          <w:sz w:val="32"/>
          <w:szCs w:val="32"/>
        </w:rPr>
        <w:drawing>
          <wp:inline distT="0" distB="0" distL="0" distR="0" wp14:anchorId="7537CD8D" wp14:editId="78D594BA">
            <wp:extent cx="5328285" cy="1166495"/>
            <wp:effectExtent l="0" t="0" r="5715" b="146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28285" cy="1166495"/>
                    </a:xfrm>
                    <a:prstGeom prst="rect">
                      <a:avLst/>
                    </a:prstGeom>
                    <a:noFill/>
                    <a:ln>
                      <a:noFill/>
                    </a:ln>
                  </pic:spPr>
                </pic:pic>
              </a:graphicData>
            </a:graphic>
          </wp:inline>
        </w:drawing>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Cs w:val="24"/>
        </w:rPr>
      </w:pPr>
      <w:r w:rsidRPr="00503DDA">
        <w:rPr>
          <w:rFonts w:ascii="仿宋_GB2312" w:eastAsia="仿宋_GB2312" w:hint="eastAsia"/>
          <w:szCs w:val="24"/>
        </w:rPr>
        <w:t>图3立柱上未得分的圆环  图4立柱上得分的圆环</w:t>
      </w:r>
      <w:r w:rsidRPr="00503DDA">
        <w:rPr>
          <w:rFonts w:ascii="仿宋_GB2312" w:eastAsia="仿宋_GB2312" w:hint="eastAsia"/>
          <w:szCs w:val="24"/>
        </w:rPr>
        <w:tab/>
        <w:t>图5立柱上得分的圆环</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21  挂环桩</w:t>
      </w:r>
      <w:r w:rsidR="00CB5A1E" w:rsidRPr="00503DDA">
        <w:rPr>
          <w:rFonts w:ascii="仿宋_GB2312" w:eastAsia="仿宋_GB2312" w:hint="eastAsia"/>
          <w:sz w:val="32"/>
          <w:szCs w:val="32"/>
        </w:rPr>
        <w:t>——</w:t>
      </w:r>
      <w:r w:rsidRPr="00503DDA">
        <w:rPr>
          <w:rFonts w:ascii="仿宋_GB2312" w:eastAsia="仿宋_GB2312" w:hint="eastAsia"/>
          <w:sz w:val="32"/>
          <w:szCs w:val="32"/>
        </w:rPr>
        <w:t>装在场地围栏上由VEX IQ零件构成的垂直桩子，有3个，高约3英寸（76mm），比赛开始时每根桩上套有3个圆环。机器人可以清空挂环桩得分。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22  启动位置</w:t>
      </w:r>
      <w:r w:rsidR="00CB5A1E" w:rsidRPr="00503DDA">
        <w:rPr>
          <w:rFonts w:ascii="仿宋_GB2312" w:eastAsia="仿宋_GB2312" w:hint="eastAsia"/>
          <w:sz w:val="32"/>
          <w:szCs w:val="32"/>
        </w:rPr>
        <w:t>——</w:t>
      </w:r>
      <w:r w:rsidRPr="00503DDA">
        <w:rPr>
          <w:rFonts w:ascii="仿宋_GB2312" w:eastAsia="仿宋_GB2312" w:hint="eastAsia"/>
          <w:sz w:val="32"/>
          <w:szCs w:val="32"/>
        </w:rPr>
        <w:t>场地上两块指定的11英寸x 20英寸的地方。机器人必须在这里开始比赛。启动区以长黑线的内沿和短黑线的外沿以及场地围栏顶面最外缘为界。</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23  团队协作比赛</w:t>
      </w:r>
      <w:r w:rsidR="00CB5A1E" w:rsidRPr="00503DDA">
        <w:rPr>
          <w:rFonts w:ascii="仿宋_GB2312" w:eastAsia="仿宋_GB2312" w:hint="eastAsia"/>
          <w:sz w:val="32"/>
          <w:szCs w:val="32"/>
        </w:rPr>
        <w:t>——</w:t>
      </w:r>
      <w:r w:rsidRPr="00503DDA">
        <w:rPr>
          <w:rFonts w:ascii="仿宋_GB2312" w:eastAsia="仿宋_GB2312" w:hint="eastAsia"/>
          <w:sz w:val="32"/>
          <w:szCs w:val="32"/>
        </w:rPr>
        <w:t>总时间为1分钟（60秒）的操作手控制时段形成的比赛，只有一个联队。</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24  同一化</w:t>
      </w:r>
      <w:r w:rsidR="00CB5A1E" w:rsidRPr="00503DDA">
        <w:rPr>
          <w:rFonts w:ascii="仿宋_GB2312" w:eastAsia="仿宋_GB2312" w:hint="eastAsia"/>
          <w:sz w:val="32"/>
          <w:szCs w:val="32"/>
        </w:rPr>
        <w:t>——</w:t>
      </w:r>
      <w:r w:rsidRPr="00503DDA">
        <w:rPr>
          <w:rFonts w:ascii="仿宋_GB2312" w:eastAsia="仿宋_GB2312" w:hint="eastAsia"/>
          <w:sz w:val="32"/>
          <w:szCs w:val="32"/>
        </w:rPr>
        <w:t>立柱的同一化需满足下列所有条件：</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24.1  立柱上至少要有2个得分的圆环；</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24.2  在立柱上得分的所有圆环颜色相同。</w:t>
      </w:r>
    </w:p>
    <w:p w:rsidR="00A7206D" w:rsidRPr="00503DDA" w:rsidRDefault="00077BEC">
      <w:pPr>
        <w:numPr>
          <w:ilvl w:val="0"/>
          <w:numId w:val="1"/>
        </w:num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int="eastAsia"/>
          <w:sz w:val="32"/>
          <w:szCs w:val="32"/>
        </w:rPr>
        <w:t>比赛规则</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 得分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1.1  在地面得分区中得分的一个圆环记1分。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lastRenderedPageBreak/>
        <w:t>1.2  在立柱上得分的一个圆环记5分。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1.3  在同一化立柱上得分的圆环加倍记分（即，每个记10分）。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1.4  清空的挂环桩每个记5分。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1.5  释放圆环托盘记20分。</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2  安全规则</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任何时候，如果机器人的运行或参赛队的动作被认为不安全或已经损坏了 场地要素或圆环，裁判可决定对违规参赛队禁赛或取消比赛资格。该机器人再次进入场地前将被重新检查。</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  一般比赛规则</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  希望所有参赛队员，包括参赛队的所有学生和相关的成人，在VEX IQ竞赛活动中有自尊和尽责的表现。如果参赛队员对竞赛工作人员、志愿者或对手不尊重或不文明，他们可能被取消当场或后续场次的比赛资格。在确定奖项时，裁判在确定奖项时会考虑参赛队的行为和道德观。</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3.2  阅读和使用本规则时，请记住在VEX IQ挑战赛中的常识总是适用的。</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3.3  比赛开始时，每台机器人必须</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a.  只与地面接触；</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b.  纳入启动区界定的11英寸×20英寸的范围内；</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lastRenderedPageBreak/>
        <w:t>c.  不高于15英寸。 主裁判可酌定违规的机器人退出比赛。</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noProof/>
          <w:sz w:val="32"/>
          <w:szCs w:val="32"/>
        </w:rPr>
        <w:drawing>
          <wp:inline distT="0" distB="0" distL="0" distR="0" wp14:anchorId="34B7A32D" wp14:editId="03FBB5B7">
            <wp:extent cx="5320665" cy="1864995"/>
            <wp:effectExtent l="0" t="0" r="1333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320665" cy="1864995"/>
                    </a:xfrm>
                    <a:prstGeom prst="rect">
                      <a:avLst/>
                    </a:prstGeom>
                    <a:noFill/>
                    <a:ln>
                      <a:noFill/>
                    </a:ln>
                  </pic:spPr>
                </pic:pic>
              </a:graphicData>
            </a:graphic>
          </wp:inline>
        </w:drawing>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Cs w:val="24"/>
        </w:rPr>
      </w:pPr>
      <w:r w:rsidRPr="00503DDA">
        <w:rPr>
          <w:rFonts w:ascii="仿宋_GB2312" w:eastAsia="仿宋_GB2312" w:hint="eastAsia"/>
          <w:szCs w:val="24"/>
        </w:rPr>
        <w:t>图6 不合法的启动位置</w:t>
      </w:r>
      <w:r w:rsidRPr="00503DDA">
        <w:rPr>
          <w:rFonts w:ascii="仿宋_GB2312" w:eastAsia="仿宋_GB2312" w:hint="eastAsia"/>
          <w:szCs w:val="24"/>
        </w:rPr>
        <w:tab/>
        <w:t xml:space="preserve">                  图7</w:t>
      </w:r>
      <w:r w:rsidRPr="00503DDA">
        <w:rPr>
          <w:rFonts w:ascii="仿宋_GB2312" w:eastAsia="仿宋_GB2312" w:hint="eastAsia"/>
          <w:szCs w:val="24"/>
        </w:rPr>
        <w:tab/>
        <w:t>合法的启动位置</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3.4  比赛中，机器人不得伸展超出比赛开始时限制的11英寸×20英寸的范围。 然而，机器人可以伸展超出比赛开始时的15英寸的高度限制。违反此规定但不影响比赛的小过错会受到警告。影响比赛的严重违规将导致取消比赛资格。裁判长可酌定取消受到多次警告的参赛队的比赛资格。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 xml:space="preserve">3.5  </w:t>
      </w:r>
      <w:r w:rsidR="007E0F98" w:rsidRPr="00607B01">
        <w:rPr>
          <w:rFonts w:ascii="仿宋_GB2312" w:eastAsia="仿宋_GB2312"/>
          <w:color w:val="FF0000"/>
          <w:sz w:val="32"/>
          <w:szCs w:val="32"/>
        </w:rPr>
        <w:t>每支参赛队必须有两名操作手。只有一名学生到场的参赛队</w:t>
      </w:r>
      <w:r w:rsidR="007E0F98" w:rsidRPr="00607B01">
        <w:rPr>
          <w:rFonts w:ascii="仿宋_GB2312" w:eastAsia="仿宋_GB2312" w:hint="eastAsia"/>
          <w:color w:val="FF0000"/>
          <w:sz w:val="32"/>
          <w:szCs w:val="32"/>
        </w:rPr>
        <w:t>视为</w:t>
      </w:r>
      <w:r w:rsidR="007E0F98" w:rsidRPr="00607B01">
        <w:rPr>
          <w:rFonts w:ascii="仿宋_GB2312" w:eastAsia="仿宋_GB2312"/>
          <w:color w:val="FF0000"/>
          <w:sz w:val="32"/>
          <w:szCs w:val="32"/>
        </w:rPr>
        <w:t>放弃比赛。</w:t>
      </w:r>
      <w:r w:rsidRPr="00503DDA">
        <w:rPr>
          <w:rFonts w:ascii="仿宋_GB2312" w:eastAsia="仿宋_GB2312" w:hint="eastAsia"/>
          <w:sz w:val="32"/>
          <w:szCs w:val="32"/>
        </w:rPr>
        <w:t>比赛中，机器人只能由操作手操作。一名操作手控制机器人不能超过35 秒钟。两名操作手必须在比赛尚有25秒到35秒时交换。第二名操作手在遥控器交给他之前不能接触遥控器。一旦遥控器换手，第一名操作手不能再接触遥控器。违反此规定且不影响比赛的小过错会受到警告。影响比赛的恶劣违规会导致取消比赛资格。裁判长可酌定取消受到多次警告的参赛队的比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3.6  比赛中，操作手必须始终站在操作手站位上，按照&lt;G15&gt;与机器人合法互动时除外。比赛中，操作手也不得使用任何</w:t>
      </w:r>
      <w:r w:rsidRPr="00503DDA">
        <w:rPr>
          <w:rFonts w:ascii="仿宋_GB2312" w:eastAsia="仿宋_GB2312" w:hint="eastAsia"/>
          <w:sz w:val="32"/>
          <w:szCs w:val="32"/>
        </w:rPr>
        <w:lastRenderedPageBreak/>
        <w:t>通信装置。关闭了通信功能的装置（例 如，处于飞行模式的手机）是允许的。</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3.7  比赛中，操作手不得有意接触任何场地要素或机器人，&lt;G15&gt;允许的除外。任何有意的接触会导致取消比赛资格。偶然的接触不会受罚，除非这种接触直接影响到比赛结果。这类偶然接触可能导致取消比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3.8  离开比赛场地的圆环不再回到比赛场地。</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3.9  得分将在一场比赛结束后场上所有物品不再运动后立即计算。比赛结束后由于机器人的继续运动造成的得分、清空或释放将不予考虑。裁判员不会观看比赛视频或照片。</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3.10  在比赛过程中，机器人不得故意分离出部件或把机构掉在场上。如果故意分离的部件或机构影响比赛的进行，裁判员将酌定该队取消比赛资格。多次故意犯规可能导致取消该队的参赛资格。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3.11  机器人不得有意抓住、扭住或依附于任何场地要素。用机械结构与某场地要素的多侧作用以图揪住该要素的策略是不允许的。此规定的意图是既防止参 赛队无意损坏场地也防止它们把自己钉死在场上。对违反此规定的小过错会给予 警告。影响比赛的恶劣犯规将导致取消比赛资格。裁判长可以酌情取消受到多次 警告的参赛队的比赛资格。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3.12  机器人的设计必须使圆环能在赛后断电的情况下便</w:t>
      </w:r>
      <w:r w:rsidRPr="00503DDA">
        <w:rPr>
          <w:rFonts w:ascii="仿宋_GB2312" w:eastAsia="仿宋_GB2312" w:hint="eastAsia"/>
          <w:sz w:val="32"/>
          <w:szCs w:val="32"/>
        </w:rPr>
        <w:lastRenderedPageBreak/>
        <w:t>于从夹持装置中取出。</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3.13  除非另有说明，比赛场地可能有±1英寸的误差，参赛队必须据此设计自 己的机器人。</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3.14  重赛由竞赛组织者和裁判长慎重决定，且只是一种极特殊的情况。</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3.15  如果一台机器人完全越出边界（到了场外）、被卡住、倾覆、或需要帮助，操作手可以取回和重置该机器人。处理时，操作手必须</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3.15.1  告知裁判并把VEX IQ控制器放在地上；</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3.15.2  把机器人移到启动位置；</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3.15.3  处理机器人时，其上的任何圆环必须拿下并在其后的比赛中不再使用。</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3.15.4  这一规定的意思是参赛队可以修复损坏的机器人或排除机器人的故障。不打算让参赛队以此为策略在比赛中占据优势。如果裁判员看到参赛队有意或反复这么做，可以取消参赛队的比赛资格。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3.16  圆环未从圆环托盘释放时，机器人不得从托盘上取下它们。对违反此规定的小过错会给予警告。影响比赛的恶劣犯规将导致取消比赛资格。裁判长可以酌情取消受到多次警告的参赛队的比赛资格。</w:t>
      </w:r>
    </w:p>
    <w:p w:rsidR="00A7206D" w:rsidRPr="00503DDA" w:rsidRDefault="00077BEC">
      <w:pPr>
        <w:adjustRightInd w:val="0"/>
        <w:snapToGrid w:val="0"/>
        <w:spacing w:before="0" w:beforeAutospacing="0" w:after="0" w:afterAutospacing="0"/>
        <w:ind w:firstLineChars="0" w:firstLine="0"/>
        <w:jc w:val="left"/>
        <w:rPr>
          <w:rFonts w:ascii="仿宋_GB2312" w:eastAsia="仿宋_GB2312"/>
          <w:sz w:val="32"/>
          <w:szCs w:val="32"/>
        </w:rPr>
      </w:pPr>
      <w:r w:rsidRPr="00503DDA">
        <w:rPr>
          <w:rFonts w:ascii="仿宋_GB2312" w:eastAsia="仿宋_GB2312" w:hint="eastAsia"/>
          <w:sz w:val="32"/>
          <w:szCs w:val="32"/>
        </w:rPr>
        <w:t>3.17  紧急情况下，成人可以协助学生，不过，成人不应在</w:t>
      </w:r>
      <w:r w:rsidRPr="00503DDA">
        <w:rPr>
          <w:rFonts w:ascii="仿宋_GB2312" w:eastAsia="仿宋_GB2312" w:hint="eastAsia"/>
          <w:sz w:val="32"/>
          <w:szCs w:val="32"/>
        </w:rPr>
        <w:lastRenderedPageBreak/>
        <w:t>参赛队无学生在场和积极参与的情况下动机器人。</w:t>
      </w:r>
    </w:p>
    <w:p w:rsidR="003278C0" w:rsidRDefault="003278C0">
      <w:pPr>
        <w:adjustRightInd w:val="0"/>
        <w:snapToGrid w:val="0"/>
        <w:spacing w:before="0" w:beforeAutospacing="0" w:after="0" w:afterAutospacing="0"/>
        <w:ind w:firstLineChars="0" w:firstLine="0"/>
        <w:jc w:val="left"/>
        <w:outlineLvl w:val="0"/>
        <w:rPr>
          <w:rFonts w:ascii="仿宋_GB2312" w:eastAsia="仿宋_GB2312"/>
          <w:sz w:val="32"/>
          <w:szCs w:val="32"/>
        </w:rPr>
      </w:pPr>
    </w:p>
    <w:p w:rsidR="003278C0" w:rsidRDefault="003278C0">
      <w:pPr>
        <w:adjustRightInd w:val="0"/>
        <w:snapToGrid w:val="0"/>
        <w:spacing w:before="0" w:beforeAutospacing="0" w:after="0" w:afterAutospacing="0"/>
        <w:ind w:firstLineChars="0" w:firstLine="0"/>
        <w:jc w:val="left"/>
        <w:outlineLvl w:val="0"/>
        <w:rPr>
          <w:rFonts w:ascii="仿宋_GB2312" w:eastAsia="仿宋_GB2312"/>
          <w:sz w:val="32"/>
          <w:szCs w:val="32"/>
        </w:rPr>
      </w:pPr>
    </w:p>
    <w:p w:rsidR="00A7206D" w:rsidRPr="00503DDA" w:rsidRDefault="00077BEC">
      <w:p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int="eastAsia"/>
          <w:sz w:val="32"/>
          <w:szCs w:val="32"/>
        </w:rPr>
        <w:t>四、机器人的检查</w:t>
      </w:r>
    </w:p>
    <w:p w:rsidR="00A7206D" w:rsidRPr="00503DDA" w:rsidRDefault="00077BEC" w:rsidP="00503DDA">
      <w:pPr>
        <w:adjustRightInd w:val="0"/>
        <w:snapToGrid w:val="0"/>
        <w:spacing w:before="0" w:beforeAutospacing="0" w:after="0" w:afterAutospacing="0"/>
        <w:ind w:firstLine="640"/>
        <w:jc w:val="left"/>
        <w:rPr>
          <w:rFonts w:ascii="仿宋_GB2312" w:eastAsia="仿宋_GB2312"/>
          <w:sz w:val="32"/>
          <w:szCs w:val="32"/>
        </w:rPr>
      </w:pPr>
      <w:r w:rsidRPr="00503DDA">
        <w:rPr>
          <w:rFonts w:ascii="仿宋_GB2312" w:eastAsia="仿宋_GB2312" w:hint="eastAsia"/>
          <w:sz w:val="32"/>
          <w:szCs w:val="32"/>
        </w:rPr>
        <w:t>每台机器人在赛前必须通过全面的检查。</w:t>
      </w:r>
      <w:r w:rsidR="001F6C85" w:rsidRPr="001F6C85">
        <w:rPr>
          <w:rFonts w:ascii="仿宋_GB2312" w:eastAsia="仿宋_GB2312"/>
          <w:sz w:val="32"/>
          <w:szCs w:val="32"/>
        </w:rPr>
        <w:t>这种检查将保证机器人满足所有规则和规定</w:t>
      </w:r>
      <w:r w:rsidR="001F6C85" w:rsidRPr="001F6C85">
        <w:rPr>
          <w:rFonts w:ascii="仿宋_GB2312" w:eastAsia="仿宋_GB2312" w:hint="eastAsia"/>
          <w:sz w:val="32"/>
          <w:szCs w:val="32"/>
        </w:rPr>
        <w:t>，来自官方正规渠道和遵守赛制约束</w:t>
      </w:r>
      <w:r w:rsidR="001F6C85" w:rsidRPr="001F6C85">
        <w:rPr>
          <w:rFonts w:ascii="仿宋_GB2312" w:eastAsia="仿宋_GB2312"/>
          <w:sz w:val="32"/>
          <w:szCs w:val="32"/>
        </w:rPr>
        <w:t>。</w:t>
      </w:r>
      <w:r w:rsidRPr="00503DDA">
        <w:rPr>
          <w:rFonts w:ascii="仿宋_GB2312" w:eastAsia="仿宋_GB2312" w:hint="eastAsia"/>
          <w:sz w:val="32"/>
          <w:szCs w:val="32"/>
        </w:rPr>
        <w:t>初次检查一般在参赛队注册/练习时进行。机器人</w:t>
      </w:r>
      <w:r w:rsidR="00CB5A1E" w:rsidRPr="00503DDA">
        <w:rPr>
          <w:rFonts w:ascii="仿宋_GB2312" w:eastAsia="仿宋_GB2312" w:hint="eastAsia"/>
          <w:sz w:val="32"/>
          <w:szCs w:val="32"/>
        </w:rPr>
        <w:t>——</w:t>
      </w:r>
      <w:r w:rsidRPr="00503DDA">
        <w:rPr>
          <w:rFonts w:ascii="仿宋_GB2312" w:eastAsia="仿宋_GB2312" w:hint="eastAsia"/>
          <w:sz w:val="32"/>
          <w:szCs w:val="32"/>
        </w:rPr>
        <w:t>VEX IQ参赛队设计和构建的、在赛场上完成特定任务的、操作手控制的小车。比赛机器人最多使用6个电机和一个主控器及电池。该机器人只能用VEX IQ平台的零件和来自VEX Robotics的Hexbug 生产线的机械/结构元件构成，不允许使用其它零件。参赛前，每台机器人都要通过检查。赛事工作人员可酌定进行其它检查。</w:t>
      </w:r>
    </w:p>
    <w:p w:rsidR="00A7206D" w:rsidRDefault="00077BEC">
      <w:p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int="eastAsia"/>
          <w:sz w:val="32"/>
          <w:szCs w:val="32"/>
        </w:rPr>
        <w:t>五、比赛</w:t>
      </w:r>
      <w:r w:rsidR="008D0B20">
        <w:rPr>
          <w:rFonts w:ascii="仿宋_GB2312" w:eastAsia="仿宋_GB2312" w:hint="eastAsia"/>
          <w:sz w:val="32"/>
          <w:szCs w:val="32"/>
        </w:rPr>
        <w:t>流程</w:t>
      </w:r>
    </w:p>
    <w:p w:rsidR="008D0B20" w:rsidRDefault="003278C0" w:rsidP="008D0B20">
      <w:p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AnsiTheme="minorEastAsia" w:cstheme="minorEastAsia" w:hint="eastAsia"/>
          <w:sz w:val="32"/>
          <w:szCs w:val="32"/>
        </w:rPr>
        <w:t>“套环达人”比赛</w:t>
      </w:r>
      <w:r>
        <w:rPr>
          <w:rFonts w:ascii="仿宋_GB2312" w:eastAsia="仿宋_GB2312" w:hAnsiTheme="minorEastAsia" w:cstheme="minorEastAsia" w:hint="eastAsia"/>
          <w:sz w:val="32"/>
          <w:szCs w:val="32"/>
        </w:rPr>
        <w:t>分为资格赛和决赛：</w:t>
      </w:r>
    </w:p>
    <w:p w:rsidR="008D0B20" w:rsidRPr="00503DDA" w:rsidRDefault="003278C0" w:rsidP="008D0B20">
      <w:pPr>
        <w:adjustRightInd w:val="0"/>
        <w:snapToGrid w:val="0"/>
        <w:spacing w:before="0" w:beforeAutospacing="0" w:after="0" w:afterAutospacing="0"/>
        <w:ind w:firstLineChars="0" w:firstLine="0"/>
        <w:jc w:val="left"/>
        <w:outlineLvl w:val="0"/>
        <w:rPr>
          <w:rFonts w:ascii="仿宋_GB2312" w:eastAsia="仿宋_GB2312"/>
          <w:sz w:val="32"/>
          <w:szCs w:val="32"/>
        </w:rPr>
      </w:pPr>
      <w:r>
        <w:rPr>
          <w:rFonts w:ascii="仿宋_GB2312" w:eastAsia="仿宋_GB2312" w:hint="eastAsia"/>
          <w:sz w:val="32"/>
          <w:szCs w:val="32"/>
        </w:rPr>
        <w:t>5.1</w:t>
      </w:r>
      <w:r w:rsidR="008D0B20">
        <w:rPr>
          <w:rFonts w:ascii="仿宋_GB2312" w:eastAsia="仿宋_GB2312" w:hint="eastAsia"/>
          <w:sz w:val="32"/>
          <w:szCs w:val="32"/>
        </w:rPr>
        <w:t>资格赛：</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ascii="仿宋_GB2312" w:eastAsia="仿宋_GB2312" w:hint="eastAsia"/>
          <w:sz w:val="32"/>
          <w:szCs w:val="32"/>
        </w:rPr>
        <w:t>5.1.1</w:t>
      </w:r>
      <w:r w:rsidR="00823C91" w:rsidRPr="00823C91">
        <w:rPr>
          <w:rFonts w:ascii="仿宋_GB2312" w:eastAsia="仿宋_GB2312" w:hint="eastAsia"/>
          <w:sz w:val="32"/>
          <w:szCs w:val="32"/>
        </w:rPr>
        <w:t>每局赛局结束时确定得分。</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ascii="仿宋_GB2312" w:eastAsia="仿宋_GB2312" w:hint="eastAsia"/>
          <w:sz w:val="32"/>
          <w:szCs w:val="32"/>
        </w:rPr>
        <w:t>5.1.2</w:t>
      </w:r>
      <w:r w:rsidR="00823C91" w:rsidRPr="00823C91">
        <w:rPr>
          <w:rFonts w:ascii="仿宋_GB2312" w:eastAsia="仿宋_GB2312"/>
          <w:sz w:val="32"/>
          <w:szCs w:val="32"/>
        </w:rPr>
        <w:t>每支赛队的得分与其所在联队的得分相同。</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5.1.3</w:t>
      </w:r>
      <w:r w:rsidR="00823C91">
        <w:rPr>
          <w:rFonts w:ascii="仿宋_GB2312" w:eastAsia="仿宋_GB2312"/>
          <w:sz w:val="32"/>
          <w:szCs w:val="32"/>
        </w:rPr>
        <w:t xml:space="preserve"> </w:t>
      </w:r>
      <w:r w:rsidR="00823C91" w:rsidRPr="00823C91">
        <w:rPr>
          <w:rFonts w:ascii="仿宋_GB2312" w:eastAsia="仿宋_GB2312"/>
          <w:sz w:val="32"/>
          <w:szCs w:val="32"/>
        </w:rPr>
        <w:t>每支赛队有相同的资格赛场次。</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5.1.4</w:t>
      </w:r>
      <w:r w:rsidR="00823C91" w:rsidRPr="00823C91">
        <w:rPr>
          <w:rFonts w:ascii="仿宋_GB2312" w:eastAsia="仿宋_GB2312"/>
          <w:sz w:val="32"/>
          <w:szCs w:val="32"/>
        </w:rPr>
        <w:t>每支赛队在每场资格赛中的得分相加得到赛队的总分。</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5.1.5</w:t>
      </w:r>
      <w:r w:rsidR="00823C91" w:rsidRPr="00823C91">
        <w:rPr>
          <w:rFonts w:ascii="仿宋_GB2312" w:eastAsia="仿宋_GB2312"/>
          <w:sz w:val="32"/>
          <w:szCs w:val="32"/>
        </w:rPr>
        <w:t>每</w:t>
      </w:r>
      <w:r>
        <w:rPr>
          <w:rFonts w:ascii="仿宋_GB2312" w:eastAsia="仿宋_GB2312"/>
          <w:sz w:val="32"/>
          <w:szCs w:val="32"/>
        </w:rPr>
        <w:t>4</w:t>
      </w:r>
      <w:r w:rsidR="00823C91" w:rsidRPr="00823C91">
        <w:rPr>
          <w:rFonts w:ascii="仿宋_GB2312" w:eastAsia="仿宋_GB2312"/>
          <w:sz w:val="32"/>
          <w:szCs w:val="32"/>
        </w:rPr>
        <w:t>场资格赛的一场成绩将不用于排名。如果赛事为</w:t>
      </w:r>
      <w:r w:rsidR="00823C91" w:rsidRPr="00823C91">
        <w:rPr>
          <w:rFonts w:ascii="仿宋_GB2312" w:eastAsia="仿宋_GB2312"/>
          <w:sz w:val="32"/>
          <w:szCs w:val="32"/>
        </w:rPr>
        <w:lastRenderedPageBreak/>
        <w:t>每支赛队安排了</w:t>
      </w:r>
      <w:r>
        <w:rPr>
          <w:rFonts w:ascii="仿宋_GB2312" w:eastAsia="仿宋_GB2312"/>
          <w:sz w:val="32"/>
          <w:szCs w:val="32"/>
        </w:rPr>
        <w:t>4</w:t>
      </w:r>
      <w:r w:rsidR="00823C91" w:rsidRPr="00823C91">
        <w:rPr>
          <w:rFonts w:ascii="仿宋_GB2312" w:eastAsia="仿宋_GB2312"/>
          <w:sz w:val="32"/>
          <w:szCs w:val="32"/>
        </w:rPr>
        <w:t>到</w:t>
      </w:r>
      <w:r>
        <w:rPr>
          <w:rFonts w:ascii="仿宋_GB2312" w:eastAsia="仿宋_GB2312"/>
          <w:sz w:val="32"/>
          <w:szCs w:val="32"/>
        </w:rPr>
        <w:t>7</w:t>
      </w:r>
      <w:r w:rsidR="00823C91" w:rsidRPr="00823C91">
        <w:rPr>
          <w:rFonts w:ascii="仿宋_GB2312" w:eastAsia="仿宋_GB2312"/>
          <w:sz w:val="32"/>
          <w:szCs w:val="32"/>
        </w:rPr>
        <w:t>场资格赛，就不计每支赛队的最低得分。如果赛事安排了</w:t>
      </w:r>
      <w:r>
        <w:rPr>
          <w:rFonts w:ascii="仿宋_GB2312" w:eastAsia="仿宋_GB2312"/>
          <w:sz w:val="32"/>
          <w:szCs w:val="32"/>
        </w:rPr>
        <w:t>8</w:t>
      </w:r>
      <w:r w:rsidR="00823C91" w:rsidRPr="00823C91">
        <w:rPr>
          <w:rFonts w:ascii="仿宋_GB2312" w:eastAsia="仿宋_GB2312"/>
          <w:sz w:val="32"/>
          <w:szCs w:val="32"/>
        </w:rPr>
        <w:t>到</w:t>
      </w:r>
      <w:r>
        <w:rPr>
          <w:rFonts w:ascii="仿宋_GB2312" w:eastAsia="仿宋_GB2312"/>
          <w:sz w:val="32"/>
          <w:szCs w:val="32"/>
        </w:rPr>
        <w:t>11</w:t>
      </w:r>
      <w:r w:rsidR="00823C91" w:rsidRPr="00823C91">
        <w:rPr>
          <w:rFonts w:ascii="仿宋_GB2312" w:eastAsia="仿宋_GB2312"/>
          <w:sz w:val="32"/>
          <w:szCs w:val="32"/>
        </w:rPr>
        <w:t>场资格赛，就不计每支赛队的两个最低得</w:t>
      </w:r>
      <w:r w:rsidR="00823C91" w:rsidRPr="00823C91">
        <w:rPr>
          <w:rFonts w:ascii="仿宋_GB2312" w:eastAsia="仿宋_GB2312" w:hint="eastAsia"/>
          <w:sz w:val="32"/>
          <w:szCs w:val="32"/>
        </w:rPr>
        <w:t>分。如果赛事有</w:t>
      </w:r>
      <w:r>
        <w:rPr>
          <w:rFonts w:ascii="仿宋_GB2312" w:eastAsia="仿宋_GB2312"/>
          <w:sz w:val="32"/>
          <w:szCs w:val="32"/>
        </w:rPr>
        <w:t>12</w:t>
      </w:r>
      <w:r w:rsidR="00823C91" w:rsidRPr="00823C91">
        <w:rPr>
          <w:rFonts w:ascii="仿宋_GB2312" w:eastAsia="仿宋_GB2312"/>
          <w:sz w:val="32"/>
          <w:szCs w:val="32"/>
        </w:rPr>
        <w:t>场以上的资格赛，就不计每支赛队的三个最低得分。</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5.1.6</w:t>
      </w:r>
      <w:r w:rsidR="00823C91" w:rsidRPr="00823C91">
        <w:rPr>
          <w:rFonts w:ascii="仿宋_GB2312" w:eastAsia="仿宋_GB2312"/>
          <w:sz w:val="32"/>
          <w:szCs w:val="32"/>
        </w:rPr>
        <w:t>赛队按总分排名。</w:t>
      </w:r>
    </w:p>
    <w:p w:rsidR="00823C91" w:rsidRPr="00823C91" w:rsidRDefault="00823C91" w:rsidP="003278C0">
      <w:pPr>
        <w:adjustRightInd w:val="0"/>
        <w:snapToGrid w:val="0"/>
        <w:spacing w:before="0" w:beforeAutospacing="0" w:after="0" w:afterAutospacing="0"/>
        <w:ind w:firstLineChars="62" w:firstLine="198"/>
        <w:jc w:val="left"/>
        <w:rPr>
          <w:rFonts w:ascii="仿宋_GB2312" w:eastAsia="仿宋_GB2312"/>
          <w:sz w:val="32"/>
          <w:szCs w:val="32"/>
        </w:rPr>
      </w:pPr>
      <w:r w:rsidRPr="00823C91">
        <w:rPr>
          <w:rFonts w:ascii="仿宋_GB2312" w:eastAsia="仿宋_GB2312"/>
          <w:sz w:val="32"/>
          <w:szCs w:val="32"/>
        </w:rPr>
        <w:t>如果两赛队的排名相同，从每支赛队的总分中除去最低得分并比较新的总分；如果仍然相同，再除去（所有得分中的）次低得分并比较新总分；如果还是相同，用随机电子抽签进行排名。</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ascii="仿宋_GB2312" w:eastAsia="仿宋_GB2312" w:hint="eastAsia"/>
          <w:sz w:val="32"/>
          <w:szCs w:val="32"/>
        </w:rPr>
        <w:t>5.2</w:t>
      </w:r>
      <w:r w:rsidR="00823C91" w:rsidRPr="00823C91">
        <w:rPr>
          <w:rFonts w:ascii="仿宋_GB2312" w:eastAsia="仿宋_GB2312" w:hint="eastAsia"/>
          <w:sz w:val="32"/>
          <w:szCs w:val="32"/>
        </w:rPr>
        <w:t>决赛</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5.2.1</w:t>
      </w:r>
      <w:r w:rsidR="00823C91" w:rsidRPr="00823C91">
        <w:rPr>
          <w:rFonts w:ascii="仿宋_GB2312" w:eastAsia="仿宋_GB2312"/>
          <w:sz w:val="32"/>
          <w:szCs w:val="32"/>
        </w:rPr>
        <w:t>资格赛结束后，排名靠前的赛队晋级决赛。</w:t>
      </w:r>
    </w:p>
    <w:p w:rsidR="003278C0"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5.2.2</w:t>
      </w:r>
      <w:r w:rsidR="00823C91" w:rsidRPr="00823C91">
        <w:rPr>
          <w:rFonts w:ascii="仿宋_GB2312" w:eastAsia="仿宋_GB2312"/>
          <w:sz w:val="32"/>
          <w:szCs w:val="32"/>
        </w:rPr>
        <w:t>参加决赛的赛队数由赛事主办方确定。</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ascii="仿宋_GB2312" w:eastAsia="仿宋_GB2312" w:hint="eastAsia"/>
          <w:sz w:val="32"/>
          <w:szCs w:val="32"/>
        </w:rPr>
        <w:t>5.2.3</w:t>
      </w:r>
      <w:r w:rsidR="00823C91" w:rsidRPr="00823C91">
        <w:rPr>
          <w:rFonts w:ascii="仿宋_GB2312" w:eastAsia="仿宋_GB2312"/>
          <w:sz w:val="32"/>
          <w:szCs w:val="32"/>
        </w:rPr>
        <w:t>排名第</w:t>
      </w:r>
      <w:r w:rsidR="00823C91">
        <w:rPr>
          <w:rFonts w:ascii="仿宋_GB2312" w:eastAsia="仿宋_GB2312"/>
          <w:sz w:val="32"/>
          <w:szCs w:val="32"/>
        </w:rPr>
        <w:t>一和第二的两支赛队组成一个联队，第三和第四名赛队组成另一支联队</w:t>
      </w:r>
      <w:r w:rsidR="00823C91">
        <w:rPr>
          <w:rFonts w:ascii="仿宋_GB2312" w:eastAsia="仿宋_GB2312" w:hint="eastAsia"/>
          <w:sz w:val="32"/>
          <w:szCs w:val="32"/>
        </w:rPr>
        <w:t>，</w:t>
      </w:r>
      <w:r w:rsidR="00823C91" w:rsidRPr="00823C91">
        <w:rPr>
          <w:rFonts w:ascii="仿宋_GB2312" w:eastAsia="仿宋_GB2312"/>
          <w:sz w:val="32"/>
          <w:szCs w:val="32"/>
        </w:rPr>
        <w:t>依此类推。</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5.2.4</w:t>
      </w:r>
      <w:r w:rsidR="00823C91" w:rsidRPr="00823C91">
        <w:rPr>
          <w:rFonts w:ascii="仿宋_GB2312" w:eastAsia="仿宋_GB2312"/>
          <w:sz w:val="32"/>
          <w:szCs w:val="32"/>
        </w:rPr>
        <w:t>从排名最低的联队开始，每支联队参加一场决赛。所有决赛进行完后，得分最高的联队为获胜联队。次高分联队为第二名，依此类推。</w:t>
      </w:r>
    </w:p>
    <w:p w:rsidR="00823C91" w:rsidRPr="00823C91" w:rsidRDefault="003278C0" w:rsidP="003278C0">
      <w:pPr>
        <w:adjustRightInd w:val="0"/>
        <w:snapToGrid w:val="0"/>
        <w:spacing w:before="0" w:beforeAutospacing="0" w:after="0" w:afterAutospacing="0"/>
        <w:ind w:firstLineChars="0" w:firstLine="0"/>
        <w:jc w:val="left"/>
        <w:rPr>
          <w:rFonts w:ascii="仿宋_GB2312" w:eastAsia="仿宋_GB2312"/>
          <w:sz w:val="32"/>
          <w:szCs w:val="32"/>
        </w:rPr>
      </w:pPr>
      <w:r>
        <w:rPr>
          <w:rFonts w:hint="eastAsia"/>
          <w:sz w:val="32"/>
          <w:szCs w:val="32"/>
        </w:rPr>
        <w:t>5.2.5</w:t>
      </w:r>
      <w:r w:rsidR="00823C91" w:rsidRPr="00823C91">
        <w:rPr>
          <w:rFonts w:ascii="仿宋_GB2312" w:eastAsia="仿宋_GB2312"/>
          <w:sz w:val="32"/>
          <w:szCs w:val="32"/>
        </w:rPr>
        <w:t>如果第一名出现平局，打平的两支联队将各加赛一场平局赛。平局赛中得分最高的联队即获</w:t>
      </w:r>
      <w:r w:rsidR="00823C91" w:rsidRPr="00823C91">
        <w:rPr>
          <w:rFonts w:ascii="仿宋_GB2312" w:eastAsia="仿宋_GB2312" w:hint="eastAsia"/>
          <w:sz w:val="32"/>
          <w:szCs w:val="32"/>
        </w:rPr>
        <w:t>胜。</w:t>
      </w:r>
      <w:r w:rsidR="00823C91" w:rsidRPr="00823C91">
        <w:rPr>
          <w:rFonts w:ascii="仿宋_GB2312" w:eastAsia="仿宋_GB2312"/>
          <w:sz w:val="32"/>
          <w:szCs w:val="32"/>
        </w:rPr>
        <w:t>如果平局赛仍然出现平局，则再各加赛一场平局赛。如果第二次平局赛仍然平局，则以较高排名的种子联队为获胜联队。（即排名较低</w:t>
      </w:r>
      <w:r w:rsidR="00823C91" w:rsidRPr="00823C91">
        <w:rPr>
          <w:rFonts w:ascii="仿宋_GB2312" w:eastAsia="仿宋_GB2312"/>
          <w:sz w:val="32"/>
          <w:szCs w:val="32"/>
        </w:rPr>
        <w:lastRenderedPageBreak/>
        <w:t>的种子联队必须战胜排名较高的种子联队方可获胜）</w:t>
      </w:r>
    </w:p>
    <w:p w:rsidR="003278C0" w:rsidRPr="003278C0" w:rsidRDefault="00077BEC" w:rsidP="003278C0">
      <w:pPr>
        <w:adjustRightInd w:val="0"/>
        <w:snapToGrid w:val="0"/>
        <w:spacing w:before="0" w:beforeAutospacing="0" w:after="0" w:afterAutospacing="0"/>
        <w:ind w:firstLineChars="0" w:firstLine="0"/>
        <w:jc w:val="left"/>
        <w:outlineLvl w:val="0"/>
        <w:rPr>
          <w:rFonts w:ascii="仿宋_GB2312" w:eastAsia="仿宋_GB2312"/>
          <w:sz w:val="32"/>
          <w:szCs w:val="32"/>
        </w:rPr>
      </w:pPr>
      <w:r w:rsidRPr="00503DDA">
        <w:rPr>
          <w:rFonts w:ascii="仿宋_GB2312" w:eastAsia="仿宋_GB2312" w:hint="eastAsia"/>
          <w:sz w:val="32"/>
          <w:szCs w:val="32"/>
        </w:rPr>
        <w:t>六、</w:t>
      </w:r>
      <w:r w:rsidR="003278C0" w:rsidRPr="003278C0">
        <w:rPr>
          <w:rFonts w:ascii="仿宋_GB2312" w:eastAsia="仿宋_GB2312" w:hint="eastAsia"/>
          <w:sz w:val="32"/>
          <w:szCs w:val="32"/>
        </w:rPr>
        <w:t>参赛队组成及分组</w:t>
      </w:r>
    </w:p>
    <w:p w:rsidR="003278C0" w:rsidRPr="003278C0" w:rsidRDefault="003278C0" w:rsidP="003278C0">
      <w:pPr>
        <w:adjustRightInd w:val="0"/>
        <w:snapToGrid w:val="0"/>
        <w:spacing w:before="0" w:beforeAutospacing="0" w:after="0" w:afterAutospacing="0"/>
        <w:ind w:firstLineChars="0" w:firstLine="0"/>
        <w:jc w:val="left"/>
        <w:outlineLvl w:val="0"/>
        <w:rPr>
          <w:rFonts w:ascii="仿宋_GB2312" w:eastAsia="仿宋_GB2312"/>
          <w:sz w:val="32"/>
          <w:szCs w:val="32"/>
        </w:rPr>
      </w:pPr>
      <w:r>
        <w:rPr>
          <w:rFonts w:ascii="仿宋_GB2312" w:eastAsia="仿宋_GB2312" w:hint="eastAsia"/>
          <w:sz w:val="32"/>
          <w:szCs w:val="32"/>
        </w:rPr>
        <w:t>6.1</w:t>
      </w:r>
      <w:r w:rsidRPr="00607B01">
        <w:rPr>
          <w:rFonts w:ascii="仿宋_GB2312" w:eastAsia="仿宋_GB2312" w:hint="eastAsia"/>
          <w:color w:val="FF0000"/>
          <w:sz w:val="32"/>
          <w:szCs w:val="32"/>
        </w:rPr>
        <w:t>每支参赛队伍由</w:t>
      </w:r>
      <w:r w:rsidRPr="00607B01">
        <w:rPr>
          <w:rFonts w:ascii="仿宋_GB2312" w:eastAsia="仿宋_GB2312"/>
          <w:color w:val="FF0000"/>
          <w:sz w:val="32"/>
          <w:szCs w:val="32"/>
        </w:rPr>
        <w:t>1名指导教师和2名选手组成。参赛所使用设备由参赛队自行准备</w:t>
      </w:r>
      <w:r w:rsidRPr="003278C0">
        <w:rPr>
          <w:rFonts w:ascii="仿宋_GB2312" w:eastAsia="仿宋_GB2312"/>
          <w:sz w:val="32"/>
          <w:szCs w:val="32"/>
        </w:rPr>
        <w:t>。</w:t>
      </w:r>
    </w:p>
    <w:p w:rsidR="003278C0" w:rsidRDefault="003278C0">
      <w:pPr>
        <w:adjustRightInd w:val="0"/>
        <w:snapToGrid w:val="0"/>
        <w:spacing w:before="0" w:beforeAutospacing="0" w:after="0" w:afterAutospacing="0"/>
        <w:ind w:firstLineChars="0" w:firstLine="0"/>
        <w:jc w:val="left"/>
        <w:outlineLvl w:val="0"/>
        <w:rPr>
          <w:rFonts w:ascii="仿宋_GB2312" w:eastAsia="仿宋_GB2312"/>
          <w:sz w:val="32"/>
          <w:szCs w:val="32"/>
        </w:rPr>
      </w:pPr>
      <w:r>
        <w:rPr>
          <w:rFonts w:ascii="仿宋_GB2312" w:eastAsia="仿宋_GB2312" w:hint="eastAsia"/>
          <w:sz w:val="32"/>
          <w:szCs w:val="32"/>
        </w:rPr>
        <w:t>6.2</w:t>
      </w:r>
      <w:r w:rsidRPr="003278C0">
        <w:rPr>
          <w:rFonts w:ascii="仿宋_GB2312" w:eastAsia="仿宋_GB2312" w:hint="eastAsia"/>
          <w:sz w:val="32"/>
          <w:szCs w:val="32"/>
        </w:rPr>
        <w:t>竞赛分组：小学组、初中组、高中组</w:t>
      </w:r>
    </w:p>
    <w:p w:rsidR="00A7206D" w:rsidRPr="00503DDA" w:rsidRDefault="003278C0">
      <w:pPr>
        <w:adjustRightInd w:val="0"/>
        <w:snapToGrid w:val="0"/>
        <w:spacing w:before="0" w:beforeAutospacing="0" w:after="0" w:afterAutospacing="0"/>
        <w:ind w:firstLineChars="0" w:firstLine="0"/>
        <w:jc w:val="left"/>
        <w:outlineLvl w:val="0"/>
        <w:rPr>
          <w:rFonts w:ascii="仿宋_GB2312" w:eastAsia="仿宋_GB2312"/>
          <w:sz w:val="32"/>
          <w:szCs w:val="32"/>
        </w:rPr>
      </w:pPr>
      <w:r>
        <w:rPr>
          <w:rFonts w:ascii="仿宋_GB2312" w:eastAsia="仿宋_GB2312" w:hint="eastAsia"/>
          <w:sz w:val="32"/>
          <w:szCs w:val="32"/>
        </w:rPr>
        <w:t>七、</w:t>
      </w:r>
      <w:r w:rsidR="00077BEC" w:rsidRPr="00503DDA">
        <w:rPr>
          <w:rFonts w:ascii="仿宋_GB2312" w:eastAsia="仿宋_GB2312" w:hint="eastAsia"/>
          <w:sz w:val="32"/>
          <w:szCs w:val="32"/>
        </w:rPr>
        <w:t>比赛名次的排定</w:t>
      </w:r>
    </w:p>
    <w:p w:rsidR="00A7206D" w:rsidRDefault="00077BEC" w:rsidP="00CB5A1E">
      <w:pPr>
        <w:adjustRightInd w:val="0"/>
        <w:snapToGrid w:val="0"/>
        <w:spacing w:before="0" w:beforeAutospacing="0" w:after="0" w:afterAutospacing="0"/>
        <w:ind w:firstLineChars="0" w:firstLine="480"/>
        <w:jc w:val="left"/>
        <w:rPr>
          <w:rFonts w:ascii="仿宋_GB2312" w:eastAsia="仿宋_GB2312"/>
          <w:sz w:val="32"/>
          <w:szCs w:val="32"/>
        </w:rPr>
      </w:pPr>
      <w:r w:rsidRPr="00503DDA">
        <w:rPr>
          <w:rFonts w:ascii="仿宋_GB2312" w:eastAsia="仿宋_GB2312" w:hint="eastAsia"/>
          <w:sz w:val="32"/>
          <w:szCs w:val="32"/>
        </w:rPr>
        <w:t>根据参赛选手的最终成绩从高到低进行排序</w:t>
      </w:r>
    </w:p>
    <w:p w:rsidR="00CB5A1E" w:rsidRPr="0064707C" w:rsidRDefault="001777FA" w:rsidP="0064707C">
      <w:pPr>
        <w:adjustRightInd w:val="0"/>
        <w:snapToGrid w:val="0"/>
        <w:spacing w:before="0" w:beforeAutospacing="0" w:after="0" w:afterAutospacing="0"/>
        <w:ind w:firstLineChars="0" w:firstLine="0"/>
        <w:jc w:val="left"/>
        <w:rPr>
          <w:rFonts w:ascii="仿宋_GB2312" w:eastAsia="仿宋_GB2312" w:hint="eastAsia"/>
          <w:sz w:val="32"/>
          <w:szCs w:val="32"/>
        </w:rPr>
      </w:pPr>
      <w:r>
        <w:rPr>
          <w:rFonts w:ascii="仿宋_GB2312" w:eastAsia="仿宋_GB2312" w:hint="eastAsia"/>
          <w:sz w:val="32"/>
          <w:szCs w:val="32"/>
        </w:rPr>
        <w:t>八、</w:t>
      </w:r>
      <w:r w:rsidRPr="001777FA">
        <w:rPr>
          <w:rFonts w:ascii="仿宋_GB2312" w:eastAsia="仿宋_GB2312" w:hint="eastAsia"/>
          <w:sz w:val="32"/>
          <w:szCs w:val="32"/>
        </w:rPr>
        <w:t>赛事规则解读及技术支持：张工1</w:t>
      </w:r>
      <w:r w:rsidRPr="001777FA">
        <w:rPr>
          <w:rFonts w:ascii="仿宋_GB2312" w:eastAsia="仿宋_GB2312"/>
          <w:sz w:val="32"/>
          <w:szCs w:val="32"/>
        </w:rPr>
        <w:t>7709221543.</w:t>
      </w:r>
      <w:bookmarkStart w:id="0" w:name="_GoBack"/>
      <w:bookmarkEnd w:id="0"/>
    </w:p>
    <w:p w:rsidR="00CB5A1E" w:rsidRPr="00503DDA" w:rsidRDefault="00CB5A1E" w:rsidP="00CB5A1E">
      <w:pPr>
        <w:adjustRightInd w:val="0"/>
        <w:snapToGrid w:val="0"/>
        <w:spacing w:before="0" w:beforeAutospacing="0" w:after="0" w:afterAutospacing="0"/>
        <w:ind w:firstLineChars="0" w:firstLine="480"/>
        <w:jc w:val="left"/>
        <w:rPr>
          <w:rFonts w:ascii="仿宋_GB2312" w:eastAsia="仿宋_GB2312"/>
          <w:sz w:val="32"/>
          <w:szCs w:val="32"/>
        </w:rPr>
      </w:pPr>
    </w:p>
    <w:p w:rsidR="00CB5A1E" w:rsidRPr="00503DDA" w:rsidRDefault="00CB5A1E" w:rsidP="00CB5A1E">
      <w:pPr>
        <w:adjustRightInd w:val="0"/>
        <w:snapToGrid w:val="0"/>
        <w:spacing w:before="0" w:beforeAutospacing="0" w:after="0" w:afterAutospacing="0"/>
        <w:ind w:firstLineChars="0" w:firstLine="480"/>
        <w:jc w:val="left"/>
        <w:rPr>
          <w:rFonts w:ascii="仿宋_GB2312" w:eastAsia="仿宋_GB2312"/>
          <w:sz w:val="32"/>
          <w:szCs w:val="32"/>
        </w:rPr>
      </w:pPr>
    </w:p>
    <w:p w:rsidR="00CB5A1E" w:rsidRPr="00503DDA" w:rsidRDefault="00CB5A1E" w:rsidP="00503DDA">
      <w:pPr>
        <w:adjustRightInd w:val="0"/>
        <w:snapToGrid w:val="0"/>
        <w:spacing w:before="0" w:beforeAutospacing="0" w:after="0" w:afterAutospacing="0"/>
        <w:ind w:firstLineChars="0" w:firstLine="0"/>
        <w:jc w:val="right"/>
        <w:rPr>
          <w:rFonts w:ascii="仿宋_GB2312" w:eastAsia="仿宋_GB2312"/>
          <w:sz w:val="28"/>
          <w:szCs w:val="28"/>
        </w:rPr>
      </w:pPr>
      <w:r w:rsidRPr="00503DDA">
        <w:rPr>
          <w:rFonts w:ascii="仿宋_GB2312" w:eastAsia="仿宋_GB2312" w:hint="eastAsia"/>
          <w:sz w:val="28"/>
          <w:szCs w:val="28"/>
        </w:rPr>
        <w:t xml:space="preserve">  </w:t>
      </w:r>
    </w:p>
    <w:sectPr w:rsidR="00CB5A1E" w:rsidRPr="00503DDA">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BC2" w:rsidRDefault="00F47BC2" w:rsidP="00A26394">
      <w:pPr>
        <w:spacing w:before="0" w:after="0" w:line="240" w:lineRule="auto"/>
        <w:ind w:firstLine="480"/>
      </w:pPr>
      <w:r>
        <w:separator/>
      </w:r>
    </w:p>
  </w:endnote>
  <w:endnote w:type="continuationSeparator" w:id="0">
    <w:p w:rsidR="00F47BC2" w:rsidRDefault="00F47BC2" w:rsidP="00A26394">
      <w:pPr>
        <w:spacing w:before="0"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DDA" w:rsidRDefault="00503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0091456"/>
      <w:docPartObj>
        <w:docPartGallery w:val="Page Numbers (Bottom of Page)"/>
        <w:docPartUnique/>
      </w:docPartObj>
    </w:sdtPr>
    <w:sdtEndPr/>
    <w:sdtContent>
      <w:p w:rsidR="00EA027F" w:rsidRDefault="00EA027F" w:rsidP="00EA027F">
        <w:pPr>
          <w:pStyle w:val="a4"/>
          <w:jc w:val="center"/>
        </w:pPr>
        <w:r>
          <w:fldChar w:fldCharType="begin"/>
        </w:r>
        <w:r>
          <w:instrText>PAGE   \* MERGEFORMAT</w:instrText>
        </w:r>
        <w:r>
          <w:fldChar w:fldCharType="separate"/>
        </w:r>
        <w:r w:rsidR="0064707C" w:rsidRPr="0064707C">
          <w:rPr>
            <w:noProof/>
            <w:lang w:val="zh-CN"/>
          </w:rPr>
          <w:t>9</w:t>
        </w:r>
        <w:r>
          <w:fldChar w:fldCharType="end"/>
        </w:r>
      </w:p>
    </w:sdtContent>
  </w:sdt>
  <w:p w:rsidR="00A7206D" w:rsidRDefault="00A7206D" w:rsidP="00EA027F">
    <w:pPr>
      <w:spacing w:after="0" w:line="200" w:lineRule="exact"/>
      <w:ind w:firstLine="40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DDA" w:rsidRDefault="00503D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BC2" w:rsidRDefault="00F47BC2" w:rsidP="00A26394">
      <w:pPr>
        <w:spacing w:before="0" w:after="0" w:line="240" w:lineRule="auto"/>
        <w:ind w:firstLine="480"/>
      </w:pPr>
      <w:r>
        <w:separator/>
      </w:r>
    </w:p>
  </w:footnote>
  <w:footnote w:type="continuationSeparator" w:id="0">
    <w:p w:rsidR="00F47BC2" w:rsidRDefault="00F47BC2" w:rsidP="00A26394">
      <w:pPr>
        <w:spacing w:before="0" w:after="0"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DDA" w:rsidRDefault="00503D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DDA" w:rsidRDefault="00503D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DDA" w:rsidRDefault="00503D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12673"/>
    <w:multiLevelType w:val="singleLevel"/>
    <w:tmpl w:val="5A012673"/>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83A"/>
    <w:rsid w:val="00007818"/>
    <w:rsid w:val="00077BEC"/>
    <w:rsid w:val="0012114A"/>
    <w:rsid w:val="001777FA"/>
    <w:rsid w:val="00187D6F"/>
    <w:rsid w:val="00193C67"/>
    <w:rsid w:val="001D674B"/>
    <w:rsid w:val="001F6C85"/>
    <w:rsid w:val="002C2706"/>
    <w:rsid w:val="003278C0"/>
    <w:rsid w:val="004137CC"/>
    <w:rsid w:val="0043383A"/>
    <w:rsid w:val="004855EB"/>
    <w:rsid w:val="004B5428"/>
    <w:rsid w:val="004B558B"/>
    <w:rsid w:val="00503DDA"/>
    <w:rsid w:val="00556589"/>
    <w:rsid w:val="00557418"/>
    <w:rsid w:val="00582C9C"/>
    <w:rsid w:val="005B3F09"/>
    <w:rsid w:val="005C1C4B"/>
    <w:rsid w:val="005E1A5B"/>
    <w:rsid w:val="00607B01"/>
    <w:rsid w:val="00634374"/>
    <w:rsid w:val="0064707C"/>
    <w:rsid w:val="00762F12"/>
    <w:rsid w:val="007E0F98"/>
    <w:rsid w:val="00823C91"/>
    <w:rsid w:val="0083133C"/>
    <w:rsid w:val="008563C4"/>
    <w:rsid w:val="008D0B20"/>
    <w:rsid w:val="0091791C"/>
    <w:rsid w:val="00957DBD"/>
    <w:rsid w:val="00A26394"/>
    <w:rsid w:val="00A7206D"/>
    <w:rsid w:val="00A80362"/>
    <w:rsid w:val="00BC3AA7"/>
    <w:rsid w:val="00C754F8"/>
    <w:rsid w:val="00CB5A1E"/>
    <w:rsid w:val="00CE32B1"/>
    <w:rsid w:val="00E17CDB"/>
    <w:rsid w:val="00EA027F"/>
    <w:rsid w:val="00F47BC2"/>
    <w:rsid w:val="1CE044F4"/>
    <w:rsid w:val="1E753F2A"/>
    <w:rsid w:val="2E7D579E"/>
    <w:rsid w:val="31F24FAC"/>
    <w:rsid w:val="3C7D57AB"/>
    <w:rsid w:val="5B1D7425"/>
    <w:rsid w:val="5F992EAE"/>
    <w:rsid w:val="7E113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5F162B-7E21-4A36-91DB-F102D1692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100" w:beforeAutospacing="1" w:after="100" w:afterAutospacing="1" w:line="360" w:lineRule="auto"/>
      <w:ind w:firstLineChars="200" w:firstLine="200"/>
      <w:jc w:val="both"/>
    </w:pPr>
    <w:rPr>
      <w:rFonts w:ascii="宋体" w:eastAsia="宋体" w:hAnsi="宋体" w:cs="宋体"/>
      <w:color w:val="000000"/>
      <w:sz w:val="24"/>
      <w:szCs w:val="22"/>
    </w:rPr>
  </w:style>
  <w:style w:type="paragraph" w:styleId="3">
    <w:name w:val="heading 3"/>
    <w:basedOn w:val="a"/>
    <w:next w:val="a"/>
    <w:link w:val="3Char"/>
    <w:qFormat/>
    <w:pPr>
      <w:keepNext/>
      <w:keepLines/>
      <w:spacing w:before="260" w:after="260"/>
      <w:ind w:firstLineChars="50" w:firstLine="50"/>
      <w:outlineLvl w:val="2"/>
    </w:pPr>
    <w:rPr>
      <w:rFonts w:ascii="Arial"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pPr>
      <w:spacing w:before="0" w:after="0"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uto"/>
      <w:ind w:firstLineChars="0" w:firstLine="0"/>
    </w:pPr>
    <w:rPr>
      <w:sz w:val="18"/>
      <w:szCs w:val="18"/>
    </w:rPr>
  </w:style>
  <w:style w:type="paragraph" w:styleId="a5">
    <w:name w:val="header"/>
    <w:basedOn w:val="a"/>
    <w:link w:val="Char1"/>
    <w:qFormat/>
    <w:pPr>
      <w:pBdr>
        <w:bottom w:val="single" w:sz="6" w:space="1" w:color="auto"/>
      </w:pBdr>
      <w:tabs>
        <w:tab w:val="center" w:pos="4153"/>
        <w:tab w:val="right" w:pos="8306"/>
      </w:tabs>
      <w:snapToGrid w:val="0"/>
      <w:spacing w:line="240" w:lineRule="auto"/>
      <w:ind w:firstLineChars="0" w:firstLine="0"/>
    </w:pPr>
    <w:rPr>
      <w:sz w:val="21"/>
      <w:szCs w:val="21"/>
    </w:rPr>
  </w:style>
  <w:style w:type="character" w:customStyle="1" w:styleId="3Char">
    <w:name w:val="标题 3 Char"/>
    <w:basedOn w:val="a0"/>
    <w:link w:val="3"/>
    <w:qFormat/>
    <w:rPr>
      <w:rFonts w:ascii="Arial" w:eastAsia="宋体" w:hAnsi="Arial" w:cs="宋体"/>
      <w:b/>
      <w:bCs/>
      <w:color w:val="000000"/>
      <w:kern w:val="0"/>
      <w:sz w:val="28"/>
      <w:szCs w:val="28"/>
    </w:rPr>
  </w:style>
  <w:style w:type="character" w:customStyle="1" w:styleId="Char1">
    <w:name w:val="页眉 Char"/>
    <w:basedOn w:val="a0"/>
    <w:link w:val="a5"/>
    <w:qFormat/>
    <w:rPr>
      <w:rFonts w:ascii="宋体" w:eastAsia="宋体" w:hAnsi="宋体" w:cs="宋体"/>
      <w:color w:val="000000"/>
      <w:kern w:val="0"/>
      <w:szCs w:val="21"/>
    </w:rPr>
  </w:style>
  <w:style w:type="character" w:customStyle="1" w:styleId="Char0">
    <w:name w:val="页脚 Char"/>
    <w:basedOn w:val="a0"/>
    <w:link w:val="a4"/>
    <w:uiPriority w:val="99"/>
    <w:qFormat/>
    <w:rPr>
      <w:rFonts w:ascii="宋体" w:eastAsia="宋体" w:hAnsi="宋体" w:cs="宋体"/>
      <w:color w:val="000000"/>
      <w:kern w:val="0"/>
      <w:sz w:val="18"/>
      <w:szCs w:val="18"/>
    </w:rPr>
  </w:style>
  <w:style w:type="character" w:customStyle="1" w:styleId="Char">
    <w:name w:val="批注框文本 Char"/>
    <w:basedOn w:val="a0"/>
    <w:link w:val="a3"/>
    <w:uiPriority w:val="99"/>
    <w:semiHidden/>
    <w:qFormat/>
    <w:rPr>
      <w:rFonts w:ascii="宋体" w:eastAsia="宋体" w:hAnsi="宋体" w:cs="宋体"/>
      <w:color w:val="000000"/>
      <w:kern w:val="0"/>
      <w:sz w:val="18"/>
      <w:szCs w:val="18"/>
    </w:rPr>
  </w:style>
  <w:style w:type="paragraph" w:styleId="a6">
    <w:name w:val="Date"/>
    <w:basedOn w:val="a"/>
    <w:next w:val="a"/>
    <w:link w:val="Char2"/>
    <w:uiPriority w:val="99"/>
    <w:semiHidden/>
    <w:unhideWhenUsed/>
    <w:rsid w:val="003278C0"/>
    <w:pPr>
      <w:ind w:leftChars="2500" w:left="100"/>
    </w:pPr>
  </w:style>
  <w:style w:type="character" w:customStyle="1" w:styleId="Char2">
    <w:name w:val="日期 Char"/>
    <w:basedOn w:val="a0"/>
    <w:link w:val="a6"/>
    <w:uiPriority w:val="99"/>
    <w:semiHidden/>
    <w:rsid w:val="003278C0"/>
    <w:rPr>
      <w:rFonts w:ascii="宋体" w:eastAsia="宋体" w:hAnsi="宋体" w:cs="宋体"/>
      <w:color w:val="000000"/>
      <w:sz w:val="24"/>
      <w:szCs w:val="22"/>
    </w:rPr>
  </w:style>
  <w:style w:type="character" w:styleId="a7">
    <w:name w:val="Hyperlink"/>
    <w:basedOn w:val="a0"/>
    <w:uiPriority w:val="99"/>
    <w:semiHidden/>
    <w:unhideWhenUsed/>
    <w:rsid w:val="00BC3A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699</Words>
  <Characters>3987</Characters>
  <Application>Microsoft Office Word</Application>
  <DocSecurity>0</DocSecurity>
  <Lines>33</Lines>
  <Paragraphs>9</Paragraphs>
  <ScaleCrop>false</ScaleCrop>
  <Company/>
  <LinksUpToDate>false</LinksUpToDate>
  <CharactersWithSpaces>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dc:creator>
  <cp:lastModifiedBy>yue hugh</cp:lastModifiedBy>
  <cp:revision>24</cp:revision>
  <dcterms:created xsi:type="dcterms:W3CDTF">2017-10-26T07:47:00Z</dcterms:created>
  <dcterms:modified xsi:type="dcterms:W3CDTF">2018-01-30T09:37:00Z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