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rPr>
          <w:rFonts w:hint="eastAsia" w:ascii="方正小标宋简体" w:hAnsi="仿宋" w:eastAsia="方正小标宋简体" w:cs="仿宋"/>
          <w:bCs/>
          <w:sz w:val="36"/>
          <w:szCs w:val="36"/>
          <w:lang w:val="en-US" w:eastAsia="zh-CN"/>
        </w:rPr>
      </w:pPr>
      <w:r>
        <w:rPr>
          <w:rFonts w:hint="eastAsia" w:ascii="方正小标宋简体" w:hAnsi="仿宋" w:eastAsia="方正小标宋简体" w:cs="仿宋"/>
          <w:bCs/>
          <w:sz w:val="36"/>
          <w:szCs w:val="36"/>
          <w:lang w:val="en-US" w:eastAsia="zh-CN"/>
        </w:rPr>
        <w:t>水中机器人协同竞技规则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一、任务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微软雅黑" w:eastAsia="仿宋_GB2312"/>
          <w:sz w:val="32"/>
          <w:szCs w:val="32"/>
        </w:rPr>
      </w:pP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水中机器人协同竞技项目是模拟南海石油管道巡检的过程。</w:t>
      </w:r>
      <w:r>
        <w:rPr>
          <w:rFonts w:hint="eastAsia" w:ascii="仿宋_GB2312" w:hAnsi="微软雅黑" w:eastAsia="仿宋_GB2312"/>
          <w:sz w:val="32"/>
          <w:szCs w:val="32"/>
        </w:rPr>
        <w:t>参赛</w:t>
      </w:r>
      <w:r>
        <w:rPr>
          <w:rFonts w:ascii="仿宋_GB2312" w:hAnsi="微软雅黑" w:eastAsia="仿宋_GB2312"/>
          <w:sz w:val="32"/>
          <w:szCs w:val="32"/>
        </w:rPr>
        <w:t>的</w:t>
      </w:r>
      <w:r>
        <w:rPr>
          <w:rFonts w:hint="eastAsia" w:ascii="仿宋_GB2312" w:hAnsi="微软雅黑" w:eastAsia="仿宋_GB2312"/>
          <w:sz w:val="32"/>
          <w:szCs w:val="32"/>
        </w:rPr>
        <w:t>双方选手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设计制作一个水中机器人与陆地机器人（可赛前搭建），</w:t>
      </w:r>
      <w:r>
        <w:rPr>
          <w:rFonts w:hint="eastAsia" w:ascii="仿宋_GB2312" w:hAnsi="微软雅黑" w:eastAsia="仿宋_GB2312"/>
          <w:sz w:val="32"/>
          <w:szCs w:val="32"/>
        </w:rPr>
        <w:t>通过现场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编程</w:t>
      </w:r>
      <w:r>
        <w:rPr>
          <w:rFonts w:hint="eastAsia" w:ascii="仿宋_GB2312" w:hAnsi="微软雅黑" w:eastAsia="仿宋_GB2312"/>
          <w:sz w:val="32"/>
          <w:szCs w:val="32"/>
        </w:rPr>
        <w:t>、调试程序，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在一个模拟南海石油管道的场地中，完成水中漏油点巡检、陆地漏油点巡检、排除障碍物等任务。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1.1 小学组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1.1.1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水中机器人从管道起点出发，沿管道行走，遇到漏油点进行识别，并执行修复动作（修复动作自行设定，例如：点亮LED灯进行提醒和控制舵机等，但不限于上述动作），然后继续前进；遇到弯道时，水中机器人应该调整姿态通过弯道，然后继续前进；水中部分设置漏油点若干和弯道若干（机器人需要具备转弯循管道能力），最终水中机器人在水中管道末端触动触发机构，水中循检任务完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1.1.2 </w:t>
      </w:r>
      <w:r>
        <w:rPr>
          <w:rFonts w:hint="eastAsia" w:ascii="仿宋_GB2312" w:hAnsi="Times New Roman" w:eastAsia="仿宋_GB2312" w:cs="Times New Roman"/>
          <w:sz w:val="32"/>
          <w:szCs w:val="32"/>
        </w:rPr>
        <w:t>陆地小车被触发机构触发（触发方式自行设计，例如红外、触碰开关等，但不限于上述触发方式）后出发，沿着管道循检，检测到管道上的漏油点时，执行修复动作（修复动作自行设定，例如：点亮LED灯进行提醒和控制舵机等，但不限于上述动作），然后继续前进，转弯处应调节小车姿态；陆地部分设置漏油点若干和弯道若干（机器人应具备转弯循线能力），小车循检完到达管道末端终点处，小车停止，并有显著停止信号（声、光、电效果均可，但不局限于上述效果）发出，比赛完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1.2 初中组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1.2.1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水中机器人从管道起点出发，沿管道行走，遇到漏油点进行识别，并执行修复动作（修复动作自行设定，例如：点亮LED灯进行提醒和控制舵机等，但不限于上述动作），然后继续前进；遇到弯道时，水中机器人应该调整姿态通过弯道，然后继续前进；水中部分设置漏油点若干和弯道若干（机器人需要具备转弯循管道能力及丁字管道的判断能力），最终水中机器人在水中管道末端触动触发机构，水中循检任务完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1.2.2 </w:t>
      </w:r>
      <w:r>
        <w:rPr>
          <w:rFonts w:hint="eastAsia" w:ascii="仿宋_GB2312" w:hAnsi="Times New Roman" w:eastAsia="仿宋_GB2312" w:cs="Times New Roman"/>
          <w:sz w:val="32"/>
          <w:szCs w:val="32"/>
        </w:rPr>
        <w:t>陆地小车被触发机构触发（触发方式自行设计，例如红外、触碰开关等，但不限于上述触发方式）后出发，沿着管道循检，检测到管道上的漏油点时，执行修复动作（修复动作自行设定，例如：点亮LED灯进行提醒和控制舵机等，但不限于上述动作），然后继续前进，沿途在小车行驶的道路上会有障碍物，需要陆地小车清除障碍物，转弯处应调节小车姿态；陆地部分设置漏油点若干和弯道若干（机器人应具备转弯循管道能力及丁字管道的判断能力），小车循检完到达管道末端终点处，小车停止，并有显著停止信号（声、光、电效果均可，但不局限于上述效果）发出，比赛完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1.3 高中组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1.3.1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水中机器人从管道起点出发，沿管道行走，遇到漏油点进行识别，并执行修复动作（修复动作自行设定，例如：点亮LED灯进行提醒和控制舵机等，但不限于上述动作），然后继续前进；遇到弯道时，水中机器人应该调整姿态通过弯道，然后继续前进；水中部分放置礁石模型若干，设置漏油点若干和弯道若干（机器人需要具备转弯循管道能力、丁字管道和十字管道的判断能力），水中机器人在游动和转弯时应避免碰撞到礁石模型，最终水中机器人在水中管道末端触动触发机构，水中循检任务完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1.3.2 </w:t>
      </w:r>
      <w:r>
        <w:rPr>
          <w:rFonts w:hint="eastAsia" w:ascii="仿宋_GB2312" w:hAnsi="Times New Roman" w:eastAsia="仿宋_GB2312" w:cs="Times New Roman"/>
          <w:sz w:val="32"/>
          <w:szCs w:val="32"/>
        </w:rPr>
        <w:t>陆地小车被触发机构触发（触发方式自行设计，例如红外、触碰开关等，但不限于上述触发方式）后出发，沿着管道循检，检测到管道上的漏油点时，执行修复动作（修复动作自行设定，例如：点亮LED灯进行提醒和控制舵机等，但不限于上述动作），然后继续前进，沿途在小车行驶的道路上会有障碍物，需要陆地小车清除障碍物，转弯处应调节小车姿态；陆地部分设置障碍物若干、漏油点若干和弯道若干（机器人应具备转弯循管道能力、丁字管道和十字管道的判断能力），小车循检完到达管道末端终点处，小车停止，并有显著停止信号（声、光、电效果均可，但不局限于上述效果）发出，比赛完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1.4 难度区分</w:t>
      </w:r>
    </w:p>
    <w:tbl>
      <w:tblPr>
        <w:tblStyle w:val="7"/>
        <w:tblW w:w="844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700"/>
        <w:gridCol w:w="991"/>
        <w:gridCol w:w="1254"/>
        <w:gridCol w:w="873"/>
        <w:gridCol w:w="946"/>
        <w:gridCol w:w="936"/>
        <w:gridCol w:w="88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  <w:jc w:val="center"/>
        </w:trPr>
        <w:tc>
          <w:tcPr>
            <w:tcW w:w="86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难度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区分</w:t>
            </w:r>
          </w:p>
        </w:tc>
        <w:tc>
          <w:tcPr>
            <w:tcW w:w="170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漏油点形状</w:t>
            </w:r>
          </w:p>
        </w:tc>
        <w:tc>
          <w:tcPr>
            <w:tcW w:w="99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漏油点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位置</w:t>
            </w:r>
          </w:p>
        </w:tc>
        <w:tc>
          <w:tcPr>
            <w:tcW w:w="1254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漏油点颜色</w:t>
            </w:r>
          </w:p>
        </w:tc>
        <w:tc>
          <w:tcPr>
            <w:tcW w:w="873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修复动作</w:t>
            </w:r>
          </w:p>
        </w:tc>
        <w:tc>
          <w:tcPr>
            <w:tcW w:w="94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触发方式</w:t>
            </w:r>
          </w:p>
        </w:tc>
        <w:tc>
          <w:tcPr>
            <w:tcW w:w="93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水中礁石</w:t>
            </w:r>
          </w:p>
        </w:tc>
        <w:tc>
          <w:tcPr>
            <w:tcW w:w="887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陆地障碍物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86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小学组</w:t>
            </w:r>
          </w:p>
        </w:tc>
        <w:tc>
          <w:tcPr>
            <w:tcW w:w="170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宽5cm圆环</w:t>
            </w:r>
          </w:p>
        </w:tc>
        <w:tc>
          <w:tcPr>
            <w:tcW w:w="99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管道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一圈</w:t>
            </w:r>
          </w:p>
        </w:tc>
        <w:tc>
          <w:tcPr>
            <w:tcW w:w="1254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黑色</w:t>
            </w:r>
          </w:p>
        </w:tc>
        <w:tc>
          <w:tcPr>
            <w:tcW w:w="873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不限</w:t>
            </w:r>
          </w:p>
        </w:tc>
        <w:tc>
          <w:tcPr>
            <w:tcW w:w="94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不限</w:t>
            </w:r>
          </w:p>
        </w:tc>
        <w:tc>
          <w:tcPr>
            <w:tcW w:w="93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无</w:t>
            </w:r>
          </w:p>
        </w:tc>
        <w:tc>
          <w:tcPr>
            <w:tcW w:w="887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861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初中组</w:t>
            </w:r>
          </w:p>
        </w:tc>
        <w:tc>
          <w:tcPr>
            <w:tcW w:w="170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宽3cm圆环</w:t>
            </w:r>
          </w:p>
        </w:tc>
        <w:tc>
          <w:tcPr>
            <w:tcW w:w="99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管道一圈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黑色</w:t>
            </w:r>
          </w:p>
        </w:tc>
        <w:tc>
          <w:tcPr>
            <w:tcW w:w="873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不限</w:t>
            </w:r>
          </w:p>
        </w:tc>
        <w:tc>
          <w:tcPr>
            <w:tcW w:w="94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不限</w:t>
            </w:r>
          </w:p>
        </w:tc>
        <w:tc>
          <w:tcPr>
            <w:tcW w:w="93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无</w:t>
            </w:r>
          </w:p>
        </w:tc>
        <w:tc>
          <w:tcPr>
            <w:tcW w:w="887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3cm×3cm正方形</w:t>
            </w:r>
          </w:p>
        </w:tc>
        <w:tc>
          <w:tcPr>
            <w:tcW w:w="99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管道上方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73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861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高中组</w:t>
            </w:r>
          </w:p>
        </w:tc>
        <w:tc>
          <w:tcPr>
            <w:tcW w:w="170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宽3cm圆环</w:t>
            </w:r>
          </w:p>
        </w:tc>
        <w:tc>
          <w:tcPr>
            <w:tcW w:w="99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管道一圈</w:t>
            </w:r>
          </w:p>
        </w:tc>
        <w:tc>
          <w:tcPr>
            <w:tcW w:w="1254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黑色</w:t>
            </w:r>
          </w:p>
        </w:tc>
        <w:tc>
          <w:tcPr>
            <w:tcW w:w="873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不限</w:t>
            </w:r>
          </w:p>
        </w:tc>
        <w:tc>
          <w:tcPr>
            <w:tcW w:w="94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不限</w:t>
            </w:r>
          </w:p>
        </w:tc>
        <w:tc>
          <w:tcPr>
            <w:tcW w:w="93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有</w:t>
            </w:r>
          </w:p>
        </w:tc>
        <w:tc>
          <w:tcPr>
            <w:tcW w:w="887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3cm×3cm正方形</w:t>
            </w:r>
          </w:p>
        </w:tc>
        <w:tc>
          <w:tcPr>
            <w:tcW w:w="99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管道上方</w:t>
            </w:r>
          </w:p>
        </w:tc>
        <w:tc>
          <w:tcPr>
            <w:tcW w:w="1254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黑色、标准色</w:t>
            </w:r>
          </w:p>
        </w:tc>
        <w:tc>
          <w:tcPr>
            <w:tcW w:w="873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br w:type="page"/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二、竞赛场地说明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rPr>
          <w:rFonts w:hint="eastAsia" w:ascii="仿宋" w:hAnsi="仿宋" w:eastAsia="仿宋"/>
          <w:color w:val="000000"/>
          <w:sz w:val="22"/>
          <w:szCs w:val="28"/>
          <w:lang w:eastAsia="zh-CN"/>
        </w:rPr>
      </w:pPr>
      <w:r>
        <w:rPr>
          <w:rFonts w:hint="eastAsia" w:ascii="仿宋" w:hAnsi="仿宋" w:eastAsia="仿宋"/>
          <w:color w:val="000000"/>
          <w:sz w:val="22"/>
          <w:szCs w:val="28"/>
          <w:lang w:eastAsia="zh-CN"/>
        </w:rPr>
        <w:drawing>
          <wp:inline distT="0" distB="0" distL="114300" distR="114300">
            <wp:extent cx="4108450" cy="4864100"/>
            <wp:effectExtent l="0" t="0" r="6350" b="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8450" cy="486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rPr>
          <w:rFonts w:hint="eastAsia" w:ascii="华文仿宋" w:hAnsi="华文仿宋" w:eastAsia="华文仿宋" w:cs="华文仿宋"/>
          <w:color w:val="000000"/>
          <w:sz w:val="21"/>
          <w:szCs w:val="21"/>
        </w:rPr>
      </w:pPr>
      <w:r>
        <w:rPr>
          <w:rFonts w:hint="eastAsia" w:ascii="华文仿宋" w:hAnsi="华文仿宋" w:eastAsia="华文仿宋" w:cs="华文仿宋"/>
          <w:color w:val="000000"/>
          <w:sz w:val="21"/>
          <w:szCs w:val="21"/>
          <w:lang w:val="en-US" w:eastAsia="zh-CN"/>
        </w:rPr>
        <w:t>图1-</w:t>
      </w:r>
      <w:r>
        <w:rPr>
          <w:rFonts w:hint="eastAsia" w:ascii="华文仿宋" w:hAnsi="华文仿宋" w:eastAsia="华文仿宋" w:cs="华文仿宋"/>
          <w:color w:val="000000"/>
          <w:sz w:val="21"/>
          <w:szCs w:val="21"/>
        </w:rPr>
        <w:t>场地示意图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2.1 场地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长400cm，宽300cm。其中水池部分长300cm，宽200cm。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场地分为A区域和B区域。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以组委会提供的标准场地为准，其中水池场地四周为铝型材，可以安装水陆触发装置。水池水深：26cm。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2.2 石油管道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直径75mm白色PVC管，水中部分紧贴水池底面铺设，陆地部分紧贴陆地地面铺设。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小学组：水中和陆地的石油管道均有两种规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格的弯道模式：45度弯道模式、90度弯道模式。所铺设的石油管道形状在比赛现场公布。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初中组：水中和陆地的石油管道均有三种规格的弯道模式：45度弯道模式、90度弯道模式、丁字模式。所铺设的石油管道形状在比赛现场公布。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高中组：水中和陆地的石油管道均有四种规格的弯道模式：45度弯道模式、90度弯道模式、丁字模式、十字模式。所铺设的石油管道形状在比赛现场公布。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2.3 起点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A、B区域水中机器人出发区域；终点：A、B区域小车停止区域。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2.4 漏油点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小学组：宽5cm的圆环，黑色不反光，随机分布在管道一圈，摆放位置在比赛现场公布。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初中组：两种规格的漏油点（不保证现场场地上两种规格的漏油点都出现）：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instrText xml:space="preserve">eq \o\ac(○,1)</w:instrTex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宽3cm的圆环，黑色不反光，随机分布在管道一圈，摆放位置在现场公布；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instrText xml:space="preserve">eq \o\ac(○,2)</w:instrTex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3cm×3cm的正方形，黑色不反光，随机分布在管道上方，具体位置在比赛现场公布。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高中组：三种规格的漏油点（不保证现场场地上三种规格的漏油点都出现）：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instrText xml:space="preserve">eq \o\ac(○,1)</w:instrTex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宽3cm的圆环，黑色不反光，随机分布在管道一圈，摆放位置在比赛现场公布；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instrText xml:space="preserve">eq \o\ac(○,2)</w:instrTex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3cm×3cm的正方形，黑色不反光，随机分布在管道上方，具体位置在比赛现场公布；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instrText xml:space="preserve">eq \o\ac(○,3)</w:instrTex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3cm×3cm的正方形，其他标准颜色（包括但不限于红色、黄色、蓝色、绿色）不反光，随机分布在管道上方，具体颜色和位置在比赛现场公布。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2.5 礁石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随机摆放在水中管道两侧，距离直管道10cm处，距离转弯15cm处。礁石放置位置在比赛现场公布。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drawing>
          <wp:inline distT="0" distB="0" distL="114300" distR="114300">
            <wp:extent cx="2228215" cy="2148840"/>
            <wp:effectExtent l="0" t="0" r="6985" b="10160"/>
            <wp:docPr id="2" name="图片 2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000000"/>
          <w:sz w:val="21"/>
          <w:szCs w:val="21"/>
          <w:lang w:val="en-US" w:eastAsia="zh-CN"/>
        </w:rPr>
        <w:t>图2-礁石模型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2.6 障碍物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长3cm，宽3cm，高3cm，随机放置在陆地小车循线的道路上。障碍物放置位置在比赛现场公布。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drawing>
          <wp:inline distT="0" distB="0" distL="114300" distR="114300">
            <wp:extent cx="2000250" cy="2286635"/>
            <wp:effectExtent l="0" t="0" r="6350" b="12065"/>
            <wp:docPr id="3" name="图片 3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28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000000"/>
          <w:sz w:val="21"/>
          <w:szCs w:val="21"/>
          <w:lang w:val="en-US" w:eastAsia="zh-CN"/>
        </w:rPr>
        <w:t>图3-障碍物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2.7 轨迹线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轨迹线在管道两侧都有设置，参赛队伍可在A或B区域选择一条轨迹线进行循迹。具体轨迹线分布在比赛现场公布。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三、机器人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3.1 水中机器人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比赛所用水中机器人长度不得超过50cm，宽度不得超过30cm，并且水中机器人置于水中时，水中机器人结构的最低点与水池底部的距离不小于75mm。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水中机器人长度定义：水中机器人放入水中，其游动前进的方向为水中机器人长度。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水中机器人宽度定义：在水平面内，垂直于水中机器人长度的方向为水中机器人宽度。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水中机器人距离水池底部最低高度定义：在竖直平面内，垂直于水中机器人长度的方向，水中机器人置于水中时，水中机器人结构的最低点与水池底部的距离。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3.2 陆地小车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比赛所用陆地小车需要根据比赛规则自行设计制作。例如：通过添加传感器识别管道上的漏油点。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3.3 竞赛环境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3.3.1 编程系统：KenFish单关节图形化编程平台。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3.3.2 编程电脑：选手自带。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3.3.3 禁带设备：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队员不得携带U盘、光盘、无线路由器、手机、相机等存储和通信器材。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四、比赛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4.1 参赛队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4.1.1 参赛组别：小学组、初中组、高中组。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4.1.2 参赛人数：2人/团队。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4.1.3 指导教师：1人。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4.1.4 每人限参加1个赛项、1支队伍。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Times New Roman" w:eastAsia="楷体_GB2312" w:cs="Times New Roman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bCs w:val="0"/>
          <w:kern w:val="2"/>
          <w:sz w:val="32"/>
          <w:szCs w:val="32"/>
          <w:lang w:val="en-US" w:eastAsia="zh-CN" w:bidi="ar-SA"/>
        </w:rPr>
        <w:t>4.2 比赛时长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4.2.1 现场编程、程序调试：90分钟/组别。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4.2.2 任务完成规定用时</w:t>
      </w:r>
    </w:p>
    <w:tbl>
      <w:tblPr>
        <w:tblStyle w:val="6"/>
        <w:tblW w:w="833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4"/>
        <w:gridCol w:w="2071"/>
        <w:gridCol w:w="2072"/>
        <w:gridCol w:w="207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4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640" w:firstLineChars="20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组别</w:t>
            </w:r>
          </w:p>
        </w:tc>
        <w:tc>
          <w:tcPr>
            <w:tcW w:w="207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640" w:firstLineChars="20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小学组</w:t>
            </w:r>
          </w:p>
        </w:tc>
        <w:tc>
          <w:tcPr>
            <w:tcW w:w="207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640" w:firstLineChars="20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初中组</w:t>
            </w:r>
          </w:p>
        </w:tc>
        <w:tc>
          <w:tcPr>
            <w:tcW w:w="207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640" w:firstLineChars="20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高中组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4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比赛时间</w:t>
            </w:r>
          </w:p>
        </w:tc>
        <w:tc>
          <w:tcPr>
            <w:tcW w:w="2071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640" w:firstLineChars="20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3分钟</w:t>
            </w:r>
          </w:p>
        </w:tc>
        <w:tc>
          <w:tcPr>
            <w:tcW w:w="207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640" w:firstLineChars="20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3分钟</w:t>
            </w:r>
          </w:p>
        </w:tc>
        <w:tc>
          <w:tcPr>
            <w:tcW w:w="207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640" w:firstLineChars="20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3分钟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4.3 比赛过程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4.3.1 搭建机器人与编程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4.3.1.1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搭建机器人与编程只能在准备区进行，测试程序可去参赛区。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4.3.1.2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参赛队的学生队员检录后方能进入准备区。裁判员对参赛队携带的器材进行检查，可以携带已搭建的机器人进入准备区。对不符合要求的机器人需要按照本规则要求修改，否则不得进入准备区。队员不得携带U盘、光盘、无线路由器、手机、相机等存储和通信器材。所有参赛学生在准备区就座后，裁判员把场地任务模型分布图和比赛须知告知参赛队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.3.1.3 参赛队应自带便携计算机并可携带维修件。参赛选手在准备区不得上网和下载任何程序。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4.3.1.4 </w:t>
      </w:r>
      <w:r>
        <w:rPr>
          <w:rFonts w:hint="eastAsia" w:ascii="仿宋_GB2312" w:hAnsi="Times New Roman" w:eastAsia="仿宋_GB2312" w:cs="Times New Roman"/>
          <w:sz w:val="32"/>
          <w:szCs w:val="32"/>
        </w:rPr>
        <w:t>赛场为日常照明，参赛队员可以标定传感器，但是大赛组织方不保证现场光线绝对不变。随着比赛的进行，现场的阳光可能会有变化。现场可能会有照相机或摄像机的闪光灯、补光灯或者其他赛项的未知光线影响，请参赛队员自行解决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4.3.2 赛前准备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4.3.2.1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准备上场时，队员领取自己的机器人，在引导员带领下进入比赛区。在规定时间内未到场的参赛队将被视为弃权。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.3.2.2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上场的2名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参赛</w:t>
      </w:r>
      <w:r>
        <w:rPr>
          <w:rFonts w:hint="eastAsia" w:ascii="仿宋_GB2312" w:hAnsi="Times New Roman" w:eastAsia="仿宋_GB2312" w:cs="Times New Roman"/>
          <w:sz w:val="32"/>
          <w:szCs w:val="32"/>
        </w:rPr>
        <w:t>队员，站立在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场地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附近。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.3.2.3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参赛</w:t>
      </w:r>
      <w:r>
        <w:rPr>
          <w:rFonts w:hint="eastAsia" w:ascii="仿宋_GB2312" w:hAnsi="Times New Roman" w:eastAsia="仿宋_GB2312" w:cs="Times New Roman"/>
          <w:sz w:val="32"/>
          <w:szCs w:val="32"/>
        </w:rPr>
        <w:t>队员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选择A区域或者B区域场地，并</w:t>
      </w:r>
      <w:r>
        <w:rPr>
          <w:rFonts w:hint="eastAsia" w:ascii="仿宋_GB2312" w:hAnsi="Times New Roman" w:eastAsia="仿宋_GB2312" w:cs="Times New Roman"/>
          <w:sz w:val="32"/>
          <w:szCs w:val="32"/>
        </w:rPr>
        <w:t>将自己的机器人放入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场地出发区域。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.3.2.4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到场的参赛队员应抓紧时间（不超过2分钟）做好启动前的准备工作。完成准备工作后，队员应向裁判员示意。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4.3.3 启动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4.3.3.1 </w:t>
      </w:r>
      <w:r>
        <w:rPr>
          <w:rFonts w:hint="eastAsia" w:ascii="仿宋_GB2312" w:hAnsi="Times New Roman" w:eastAsia="仿宋_GB2312" w:cs="Times New Roman"/>
          <w:sz w:val="32"/>
          <w:szCs w:val="32"/>
        </w:rPr>
        <w:t>裁判员确认参赛队已准备好后，将发出“3、2、1，开始”的倒计时启动口令。随着倒计时开始，听到“开始”命令的第一个字，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比赛正式开始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.3.3.2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在“开始”命令前启动机器人将被视为“误启动”并受到警告或处罚。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4.3.3.3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机器人于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出发</w:t>
      </w:r>
      <w:r>
        <w:rPr>
          <w:rFonts w:hint="eastAsia" w:ascii="仿宋_GB2312" w:hAnsi="Times New Roman" w:eastAsia="仿宋_GB2312" w:cs="Times New Roman"/>
          <w:sz w:val="32"/>
          <w:szCs w:val="32"/>
        </w:rPr>
        <w:t>区域启动之前须静止，允许采用按下开关的方式进行启动。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4.3.3.4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水中机器人和陆地小车须使用传感及编程自主运行。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4.3.3.5 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在任务完成所限定的时间内无暂停。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4.3.3.6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比赛过程中，如果出现机器人失去控制并有可能损坏竞赛场地的情况，裁判应及时取出水中机器人或陆地小车，参赛队伍本次比赛随即结束。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4.3.3.7 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在任务完成所限定的时间内，参赛机器人如发生结构脱落，在不影响机器人正常运动的情况下，参赛选手可请求裁判帮助取回脱落件。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4.3.3.8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比赛过程中不得更换机器人，不可以对机器人软硬件进行变更。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4.3.3.9 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参赛队伍可选择A场地或B场地进行比赛，每支队伍共有两次比赛机会。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4.3.4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比赛结束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4.3.4.1 </w:t>
      </w:r>
      <w:r>
        <w:rPr>
          <w:rFonts w:hint="eastAsia" w:ascii="仿宋_GB2312" w:hAnsi="Times New Roman" w:eastAsia="仿宋_GB2312" w:cs="Times New Roman"/>
          <w:sz w:val="32"/>
          <w:szCs w:val="32"/>
        </w:rPr>
        <w:t>规定时间内完成任务视为比赛结束。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4.3.4.2 </w:t>
      </w:r>
      <w:r>
        <w:rPr>
          <w:rFonts w:hint="eastAsia" w:ascii="仿宋_GB2312" w:hAnsi="Times New Roman" w:eastAsia="仿宋_GB2312" w:cs="Times New Roman"/>
          <w:sz w:val="32"/>
          <w:szCs w:val="32"/>
        </w:rPr>
        <w:t>规定时间内未完成任务，比赛结束。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4.3.4.3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水中机器人和陆地小车偏离管道5秒，比赛结束。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4.3.5 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取消比赛资格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4.3.5.1 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参赛团队迟到5分钟及以上。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4.3.5.2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比赛过程中故意触碰礁石模型、障碍物、场地管道等，以及参赛的水中机器人和陆地小车。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4.3.5.3 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不听从裁判的指示。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五、计分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5.1 任务得分</w:t>
      </w:r>
    </w:p>
    <w:tbl>
      <w:tblPr>
        <w:tblStyle w:val="6"/>
        <w:tblW w:w="833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36"/>
        <w:gridCol w:w="5564"/>
        <w:gridCol w:w="16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组别</w:t>
            </w:r>
          </w:p>
        </w:tc>
        <w:tc>
          <w:tcPr>
            <w:tcW w:w="53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任务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得分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小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学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组</w:t>
            </w:r>
          </w:p>
        </w:tc>
        <w:tc>
          <w:tcPr>
            <w:tcW w:w="53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中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分</w:t>
            </w: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水中机器人顺利循管道到达触发机构位置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水中机器人顺利识别漏油点并进行修复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7.5分/个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修复部分设计的创意及复杂度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水中机器人顺利通过触发机构启动陆地小车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水中机器人漏油点误报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-5分/次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地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分</w:t>
            </w: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陆地小车顺利循管道到达终点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陆地小车顺利识别漏油点并进行修复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7.5分/个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修复部分设计的创意及复杂度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触发机构设计的创意及复杂度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陆地小车到达终点处顺利停止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陆地小车通过循管道方式完成任务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5分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陆地小车漏油点误报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-5分/次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初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中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组</w:t>
            </w:r>
          </w:p>
        </w:tc>
        <w:tc>
          <w:tcPr>
            <w:tcW w:w="53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中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分</w:t>
            </w: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水中机器人顺利循管道到达触发机构位置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水中机器人顺利识别漏油点并进行修复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7.5分/个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修复部分设计的创意及复杂度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水中机器人顺利通过触发机构启动陆地小车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水中机器人漏油点误报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-5分/次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地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分</w:t>
            </w: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陆地小车顺利循管道到达终点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陆地小车顺利识别漏油点并进行修复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4.5分/个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修复部分设计的创意和复杂度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触发机构设计的创意及复杂度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陆地小车顺利清除障碍物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4分/个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陆地小车到达终点处顺利停止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陆地小车通过循轨迹线方式完成任务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-5分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陆地小车漏油点误报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-5分/次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高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中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组</w:t>
            </w:r>
          </w:p>
        </w:tc>
        <w:tc>
          <w:tcPr>
            <w:tcW w:w="53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中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分</w:t>
            </w: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水中机器人顺利循管道到达触发机构位置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水中机器人顺利识别漏油点并进行修复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7.5分/个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修复部分设计的创意和复杂度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水中机器人顺利避开礁石模型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3分/个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水中机器人碰撞到礁石模型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-1分/次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水中机器人碰倒礁石模型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-3分/次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水中机器人顺利通过触发机构启动陆地小车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9分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水中机器人漏油点误报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-5分/次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restart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地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分</w:t>
            </w: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陆地小车顺利循管道到达终点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陆地小车顺利识别漏油点并进行修复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3分/个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8" w:type="dxa"/>
            <w:vMerge w:val="continue"/>
            <w:shd w:val="clear" w:color="auto" w:fill="auto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修复部分设计的创意和复杂度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陆地小车顺利清除障碍物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4分/个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触发机构设计的创意及复杂度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陆地小车到达终点处顺利停止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8分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陆地小车通过循轨迹线方式完成任务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dxa"/>
            <w:vMerge w:val="continue"/>
            <w:shd w:val="clear" w:color="auto" w:fill="auto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36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64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陆地小车漏油点误报</w:t>
            </w:r>
          </w:p>
        </w:tc>
        <w:tc>
          <w:tcPr>
            <w:tcW w:w="1665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-5分/次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仿宋" w:hAnsi="仿宋" w:eastAsia="仿宋" w:cs="宋体"/>
          <w:sz w:val="28"/>
          <w:szCs w:val="28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 xml:space="preserve">5.2 </w:t>
      </w:r>
      <w:r>
        <w:rPr>
          <w:rFonts w:hint="eastAsia" w:ascii="楷体_GB2312" w:hAnsi="Times New Roman" w:eastAsia="楷体_GB2312" w:cs="Times New Roman"/>
          <w:b/>
          <w:sz w:val="32"/>
          <w:szCs w:val="32"/>
        </w:rPr>
        <w:t>最终比赛得分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每支参赛队伍有两次比赛机会，取两次比赛中最好的成绩为最终比赛得分。参赛队伍依据最终得分排名，如果得分相同，则用时短的队伍排名靠前。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/>
          <w:sz w:val="32"/>
          <w:szCs w:val="32"/>
        </w:rPr>
        <w:t>通用附则（见附件11）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br w:type="page"/>
      </w:r>
    </w:p>
    <w:p>
      <w:pPr>
        <w:spacing w:line="560" w:lineRule="exact"/>
        <w:rPr>
          <w:rFonts w:hint="eastAsia"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附录:</w:t>
      </w:r>
    </w:p>
    <w:p>
      <w:pPr>
        <w:spacing w:line="560" w:lineRule="exact"/>
        <w:jc w:val="center"/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Arial" w:eastAsia="仿宋_GB2312"/>
          <w:b/>
          <w:bCs/>
          <w:sz w:val="32"/>
          <w:szCs w:val="32"/>
          <w:lang w:val="en-US" w:eastAsia="zh-CN"/>
        </w:rPr>
        <w:t>水中机器人协同竞技记分</w:t>
      </w:r>
      <w:r>
        <w:rPr>
          <w:rFonts w:hint="eastAsia" w:ascii="仿宋_GB2312" w:hAnsi="Arial" w:eastAsia="仿宋_GB2312"/>
          <w:b/>
          <w:bCs/>
          <w:sz w:val="32"/>
          <w:szCs w:val="32"/>
        </w:rPr>
        <w:t>表</w:t>
      </w:r>
      <w:r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Arial" w:eastAsia="仿宋_GB2312"/>
          <w:b/>
          <w:bCs/>
          <w:sz w:val="32"/>
          <w:szCs w:val="32"/>
          <w:lang w:val="en-US" w:eastAsia="zh-CN"/>
        </w:rPr>
        <w:t>小学组</w:t>
      </w:r>
      <w:r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  <w:t>）</w:t>
      </w:r>
    </w:p>
    <w:p>
      <w:pPr>
        <w:spacing w:line="560" w:lineRule="exact"/>
        <w:jc w:val="center"/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</w:pPr>
    </w:p>
    <w:p>
      <w:pPr>
        <w:spacing w:after="120" w:line="400" w:lineRule="exact"/>
        <w:ind w:firstLine="482" w:firstLineChars="200"/>
        <w:rPr>
          <w:rFonts w:hint="eastAsia" w:ascii="仿宋_GB2312" w:hAnsi="宋体" w:eastAsia="仿宋_GB2312"/>
          <w:b/>
          <w:bCs/>
          <w:sz w:val="24"/>
          <w:szCs w:val="24"/>
        </w:rPr>
      </w:pPr>
      <w:r>
        <w:rPr>
          <w:rFonts w:hint="eastAsia" w:ascii="仿宋_GB2312" w:hAnsi="宋体" w:eastAsia="仿宋_GB2312"/>
          <w:b/>
          <w:bCs/>
          <w:sz w:val="24"/>
          <w:szCs w:val="24"/>
        </w:rPr>
        <w:t>参赛队：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               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日期：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年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月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日</w:t>
      </w:r>
    </w:p>
    <w:p>
      <w:pPr>
        <w:spacing w:after="120" w:line="400" w:lineRule="exact"/>
        <w:ind w:firstLine="482" w:firstLineChars="200"/>
        <w:rPr>
          <w:rFonts w:hint="eastAsia" w:ascii="仿宋_GB2312" w:hAnsi="宋体" w:eastAsia="仿宋_GB2312"/>
          <w:b/>
          <w:bCs/>
          <w:sz w:val="24"/>
          <w:szCs w:val="24"/>
        </w:rPr>
      </w:pPr>
    </w:p>
    <w:tbl>
      <w:tblPr>
        <w:tblStyle w:val="6"/>
        <w:tblW w:w="829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8"/>
        <w:gridCol w:w="4378"/>
        <w:gridCol w:w="1427"/>
        <w:gridCol w:w="13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任务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____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水中部分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水中机器人顺利到达触发机构位置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水中机器人顺利识别漏油点并进行修复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7.5分/次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修复部分设计的创意及复杂度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水中机器人顺利通过触发机构启动陆地小车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水中机器人漏油点误报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-5分/次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陆地部分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陆地小车顺利循管道到达终点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陆地小车顺利识别漏油点并进行修复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7.5分/次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修复部分设计的创意及复杂度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触发机构设计的创意及复杂度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陆地小车到达终点处顺利停止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陆地小车通过循管道方式完成任务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陆地小车漏油点误报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-5分/次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关于取消比赛资格的记录：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原因：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裁 判 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记 分 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参赛队员：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参赛队员：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b/>
          <w:sz w:val="24"/>
          <w:szCs w:val="24"/>
          <w:u w:val="single"/>
        </w:rPr>
      </w:pPr>
      <w:r>
        <w:rPr>
          <w:rFonts w:hint="eastAsia" w:ascii="仿宋_GB2312" w:eastAsia="仿宋_GB2312"/>
          <w:b/>
          <w:sz w:val="24"/>
          <w:szCs w:val="24"/>
        </w:rPr>
        <w:t>裁 判 长：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数据录入：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</w:t>
      </w:r>
    </w:p>
    <w:p>
      <w:pPr>
        <w:spacing w:line="560" w:lineRule="exact"/>
        <w:rPr>
          <w:rFonts w:hint="eastAsia"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br w:type="page"/>
      </w:r>
    </w:p>
    <w:p>
      <w:pPr>
        <w:spacing w:line="560" w:lineRule="exact"/>
        <w:rPr>
          <w:rFonts w:hint="eastAsia" w:ascii="仿宋_GB2312" w:hAnsi="Arial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/>
          <w:sz w:val="32"/>
          <w:szCs w:val="32"/>
        </w:rPr>
        <w:t>附录:</w:t>
      </w:r>
    </w:p>
    <w:p>
      <w:pPr>
        <w:spacing w:line="560" w:lineRule="exact"/>
        <w:jc w:val="center"/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Arial" w:eastAsia="仿宋_GB2312"/>
          <w:b/>
          <w:bCs/>
          <w:sz w:val="32"/>
          <w:szCs w:val="32"/>
          <w:lang w:val="en-US" w:eastAsia="zh-CN"/>
        </w:rPr>
        <w:t>水中机器人协同竞技记分</w:t>
      </w:r>
      <w:r>
        <w:rPr>
          <w:rFonts w:hint="eastAsia" w:ascii="仿宋_GB2312" w:hAnsi="Arial" w:eastAsia="仿宋_GB2312"/>
          <w:b/>
          <w:bCs/>
          <w:sz w:val="32"/>
          <w:szCs w:val="32"/>
        </w:rPr>
        <w:t>表</w:t>
      </w:r>
      <w:r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Arial" w:eastAsia="仿宋_GB2312"/>
          <w:b/>
          <w:bCs/>
          <w:sz w:val="32"/>
          <w:szCs w:val="32"/>
          <w:lang w:val="en-US" w:eastAsia="zh-CN"/>
        </w:rPr>
        <w:t>初中组</w:t>
      </w:r>
      <w:r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  <w:t>）</w:t>
      </w:r>
    </w:p>
    <w:p>
      <w:pPr>
        <w:spacing w:line="560" w:lineRule="exact"/>
        <w:jc w:val="center"/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</w:pPr>
    </w:p>
    <w:p>
      <w:pPr>
        <w:spacing w:after="120" w:line="400" w:lineRule="exact"/>
        <w:ind w:firstLine="482" w:firstLineChars="200"/>
        <w:rPr>
          <w:rFonts w:hint="eastAsia" w:ascii="仿宋_GB2312" w:hAnsi="宋体" w:eastAsia="仿宋_GB2312"/>
          <w:b/>
          <w:bCs/>
          <w:sz w:val="24"/>
          <w:szCs w:val="24"/>
        </w:rPr>
      </w:pPr>
      <w:r>
        <w:rPr>
          <w:rFonts w:hint="eastAsia" w:ascii="仿宋_GB2312" w:hAnsi="宋体" w:eastAsia="仿宋_GB2312"/>
          <w:b/>
          <w:bCs/>
          <w:sz w:val="24"/>
          <w:szCs w:val="24"/>
        </w:rPr>
        <w:t>参赛队：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               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日期：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年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月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日</w:t>
      </w:r>
    </w:p>
    <w:p>
      <w:pPr>
        <w:spacing w:after="120" w:line="400" w:lineRule="exact"/>
        <w:ind w:firstLine="482" w:firstLineChars="200"/>
        <w:rPr>
          <w:rFonts w:hint="eastAsia" w:ascii="仿宋_GB2312" w:hAnsi="宋体" w:eastAsia="仿宋_GB2312"/>
          <w:b/>
          <w:bCs/>
          <w:sz w:val="24"/>
          <w:szCs w:val="24"/>
        </w:rPr>
      </w:pPr>
    </w:p>
    <w:tbl>
      <w:tblPr>
        <w:tblStyle w:val="6"/>
        <w:tblW w:w="829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8"/>
        <w:gridCol w:w="4378"/>
        <w:gridCol w:w="1427"/>
        <w:gridCol w:w="13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任务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____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0" w:hRule="atLeast"/>
        </w:trPr>
        <w:tc>
          <w:tcPr>
            <w:tcW w:w="1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水中部分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水中机器人顺利到达触发机构位置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水中机器人顺利识别漏油点并进行修复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7.5分/次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修复部分设计的创意及复杂度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水中机器人顺利通过触发机构启动陆地小车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水中机器人漏油点误报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-5分/次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陆地部分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陆地小车顺利循管道到达终点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陆地小车顺利识别漏油点并进行修复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4.5分/次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修复部分设计的创意和复杂度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触发机构设计的创意和复杂度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陆地小车顺利清除障碍物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4分/次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陆地小车到达终点处顺利停止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陆地小车通过循轨迹线方式完成任务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-5分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陆地小车漏油点误报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-5分/次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关于取消比赛资格的记录：</w:t>
      </w:r>
    </w:p>
    <w:p>
      <w:pPr>
        <w:spacing w:line="400" w:lineRule="exact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原因：</w:t>
      </w:r>
    </w:p>
    <w:p>
      <w:pPr>
        <w:spacing w:line="400" w:lineRule="exact"/>
        <w:rPr>
          <w:rFonts w:hint="eastAsia" w:ascii="仿宋_GB2312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裁 判 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记 分 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参赛队员：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参赛队员：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rPr>
          <w:rFonts w:hint="eastAsia" w:ascii="仿宋_GB2312" w:eastAsia="仿宋_GB2312"/>
          <w:b/>
          <w:sz w:val="24"/>
          <w:szCs w:val="24"/>
          <w:u w:val="single"/>
        </w:rPr>
      </w:pPr>
      <w:r>
        <w:rPr>
          <w:rFonts w:hint="eastAsia" w:ascii="仿宋_GB2312" w:eastAsia="仿宋_GB2312"/>
          <w:b/>
          <w:sz w:val="24"/>
          <w:szCs w:val="24"/>
        </w:rPr>
        <w:t>裁 判 长：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数据录入：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</w:pP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br w:type="page"/>
      </w:r>
    </w:p>
    <w:p>
      <w:pPr>
        <w:spacing w:line="560" w:lineRule="exact"/>
        <w:rPr>
          <w:rFonts w:hint="eastAsia" w:ascii="仿宋_GB2312" w:hAnsi="Arial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/>
          <w:sz w:val="32"/>
          <w:szCs w:val="32"/>
        </w:rPr>
        <w:t>附录:</w:t>
      </w:r>
    </w:p>
    <w:p>
      <w:pPr>
        <w:spacing w:line="560" w:lineRule="exact"/>
        <w:jc w:val="center"/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Arial" w:eastAsia="仿宋_GB2312"/>
          <w:b/>
          <w:bCs/>
          <w:sz w:val="32"/>
          <w:szCs w:val="32"/>
          <w:lang w:val="en-US" w:eastAsia="zh-CN"/>
        </w:rPr>
        <w:t>水中机器人协同竞技记分</w:t>
      </w:r>
      <w:r>
        <w:rPr>
          <w:rFonts w:hint="eastAsia" w:ascii="仿宋_GB2312" w:hAnsi="Arial" w:eastAsia="仿宋_GB2312"/>
          <w:b/>
          <w:bCs/>
          <w:sz w:val="32"/>
          <w:szCs w:val="32"/>
        </w:rPr>
        <w:t>表</w:t>
      </w:r>
      <w:r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Arial" w:eastAsia="仿宋_GB2312"/>
          <w:b/>
          <w:bCs/>
          <w:sz w:val="32"/>
          <w:szCs w:val="32"/>
          <w:lang w:val="en-US" w:eastAsia="zh-CN"/>
        </w:rPr>
        <w:t>高中组</w:t>
      </w:r>
      <w:r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  <w:t>）</w:t>
      </w:r>
    </w:p>
    <w:p>
      <w:pPr>
        <w:spacing w:line="560" w:lineRule="exact"/>
        <w:jc w:val="center"/>
        <w:rPr>
          <w:rFonts w:hint="eastAsia" w:ascii="仿宋_GB2312" w:hAnsi="Arial" w:eastAsia="仿宋_GB2312"/>
          <w:b/>
          <w:bCs/>
          <w:sz w:val="32"/>
          <w:szCs w:val="32"/>
          <w:lang w:eastAsia="zh-CN"/>
        </w:rPr>
      </w:pPr>
    </w:p>
    <w:p>
      <w:pPr>
        <w:spacing w:after="120" w:line="400" w:lineRule="exact"/>
        <w:ind w:firstLine="482" w:firstLineChars="200"/>
        <w:rPr>
          <w:rFonts w:hint="eastAsia" w:ascii="仿宋_GB2312" w:hAnsi="宋体" w:eastAsia="仿宋_GB2312"/>
          <w:b/>
          <w:bCs/>
          <w:sz w:val="24"/>
          <w:szCs w:val="24"/>
        </w:rPr>
      </w:pPr>
      <w:r>
        <w:rPr>
          <w:rFonts w:hint="eastAsia" w:ascii="仿宋_GB2312" w:hAnsi="宋体" w:eastAsia="仿宋_GB2312"/>
          <w:b/>
          <w:bCs/>
          <w:sz w:val="24"/>
          <w:szCs w:val="24"/>
        </w:rPr>
        <w:t>参赛队：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               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日期：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年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月</w:t>
      </w:r>
      <w:r>
        <w:rPr>
          <w:rFonts w:hint="eastAsia" w:ascii="仿宋_GB2312" w:hAnsi="宋体" w:eastAsia="仿宋_GB2312"/>
          <w:b/>
          <w:bCs/>
          <w:sz w:val="24"/>
          <w:szCs w:val="24"/>
          <w:u w:val="single"/>
        </w:rPr>
        <w:t xml:space="preserve">   </w:t>
      </w:r>
      <w:r>
        <w:rPr>
          <w:rFonts w:hint="eastAsia" w:ascii="仿宋_GB2312" w:hAnsi="宋体" w:eastAsia="仿宋_GB2312"/>
          <w:b/>
          <w:bCs/>
          <w:sz w:val="24"/>
          <w:szCs w:val="24"/>
        </w:rPr>
        <w:t>日</w:t>
      </w:r>
    </w:p>
    <w:p>
      <w:pPr>
        <w:spacing w:after="120" w:line="400" w:lineRule="exact"/>
        <w:ind w:firstLine="482" w:firstLineChars="200"/>
        <w:rPr>
          <w:rFonts w:hint="eastAsia" w:ascii="仿宋_GB2312" w:hAnsi="宋体" w:eastAsia="仿宋_GB2312"/>
          <w:b/>
          <w:bCs/>
          <w:sz w:val="24"/>
          <w:szCs w:val="24"/>
          <w:lang w:eastAsia="zh-CN"/>
        </w:rPr>
      </w:pPr>
    </w:p>
    <w:tbl>
      <w:tblPr>
        <w:tblStyle w:val="6"/>
        <w:tblW w:w="83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3"/>
        <w:gridCol w:w="4399"/>
        <w:gridCol w:w="1434"/>
        <w:gridCol w:w="1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任务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3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____</w:t>
            </w: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</w:trPr>
        <w:tc>
          <w:tcPr>
            <w:tcW w:w="11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水中部分</w:t>
            </w: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水中机器人顺利循管道到达触发机构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水中机器人顺利识别漏油点并进行修复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7.5分/次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修复部分设计的创意和复杂度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水中机器人顺利避开礁石模型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3分/次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水中机器人碰撞到礁石模型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-1分/次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水中机器人碰倒礁石模型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-3分/次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水中机器人顺利通过触发机构启动陆地小车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水中机器人漏油点误报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-5分/次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陆地部分</w:t>
            </w: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陆地小车顺利循管道到达终点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修复部分设计的创意和复杂度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陆地小车顺利识别漏油点并进行修复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3分/次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陆地小车顺利清除障碍物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4分/次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触发机构设计的创意和复杂度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陆地小车到达终点处顺利停止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陆地小车通过循轨迹线方式完成任务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-10分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陆地小车漏油点误报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-5分/次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关于取消比赛资格的记录：</w:t>
      </w:r>
    </w:p>
    <w:p>
      <w:pPr>
        <w:spacing w:line="400" w:lineRule="exact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原因：</w:t>
      </w:r>
    </w:p>
    <w:p>
      <w:pPr>
        <w:spacing w:line="400" w:lineRule="exact"/>
        <w:rPr>
          <w:rFonts w:hint="eastAsia" w:ascii="仿宋_GB2312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裁 判 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记 分 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参赛队员：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参赛队员：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rPr>
          <w:rFonts w:hint="eastAsia" w:ascii="仿宋_GB2312" w:eastAsia="仿宋_GB2312"/>
          <w:b/>
          <w:sz w:val="24"/>
          <w:szCs w:val="24"/>
          <w:u w:val="single"/>
        </w:rPr>
      </w:pPr>
      <w:r>
        <w:rPr>
          <w:rFonts w:hint="eastAsia" w:ascii="仿宋_GB2312" w:eastAsia="仿宋_GB2312"/>
          <w:b/>
          <w:sz w:val="24"/>
          <w:szCs w:val="24"/>
        </w:rPr>
        <w:t>裁 判 长：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>数据录入：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</w:t>
      </w:r>
      <w:r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仿宋_GB2312" w:eastAsia="仿宋_GB2312"/>
          <w:b/>
          <w:sz w:val="24"/>
          <w:szCs w:val="24"/>
          <w:u w:val="single"/>
        </w:rPr>
        <w:t xml:space="preserve"> 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rPr>
          <w:rFonts w:hint="eastAsia" w:ascii="仿宋_GB2312" w:eastAsia="仿宋_GB2312"/>
          <w:b/>
          <w:sz w:val="24"/>
          <w:szCs w:val="24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长仿宋体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u揰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AMGDT">
    <w:panose1 w:val="00000400000000000000"/>
    <w:charset w:val="00"/>
    <w:family w:val="auto"/>
    <w:pitch w:val="default"/>
    <w:sig w:usb0="80000003" w:usb1="10000000" w:usb2="00000000" w:usb3="00000000" w:csb0="00000001" w:csb1="0000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Kozuka Mincho Pro H">
    <w:panose1 w:val="02020A00000000000000"/>
    <w:charset w:val="80"/>
    <w:family w:val="auto"/>
    <w:pitch w:val="default"/>
    <w:sig w:usb0="00000083" w:usb1="2AC71C11" w:usb2="00000012" w:usb3="00000000" w:csb0="20020005" w:csb1="00000000"/>
  </w:font>
  <w:font w:name="Kozuka Mincho Pro EL">
    <w:panose1 w:val="02020200000000000000"/>
    <w:charset w:val="80"/>
    <w:family w:val="auto"/>
    <w:pitch w:val="default"/>
    <w:sig w:usb0="00000083" w:usb1="2AC71C11" w:usb2="00000012" w:usb3="00000000" w:csb0="2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43656"/>
    <w:rsid w:val="02B60D40"/>
    <w:rsid w:val="047B18C4"/>
    <w:rsid w:val="0768733E"/>
    <w:rsid w:val="08734184"/>
    <w:rsid w:val="092E2437"/>
    <w:rsid w:val="0AC7688C"/>
    <w:rsid w:val="0B662698"/>
    <w:rsid w:val="0CCF08D7"/>
    <w:rsid w:val="0D9878F8"/>
    <w:rsid w:val="0DA64106"/>
    <w:rsid w:val="0E6E3A25"/>
    <w:rsid w:val="104C260D"/>
    <w:rsid w:val="118832D1"/>
    <w:rsid w:val="11FC07B6"/>
    <w:rsid w:val="12481E6B"/>
    <w:rsid w:val="128407F8"/>
    <w:rsid w:val="13AC2C9B"/>
    <w:rsid w:val="147A7C77"/>
    <w:rsid w:val="1529174B"/>
    <w:rsid w:val="163908FF"/>
    <w:rsid w:val="16C75DFE"/>
    <w:rsid w:val="17A3438E"/>
    <w:rsid w:val="183A2D22"/>
    <w:rsid w:val="18533175"/>
    <w:rsid w:val="19EF53C8"/>
    <w:rsid w:val="1A8435C1"/>
    <w:rsid w:val="1F014947"/>
    <w:rsid w:val="2002090F"/>
    <w:rsid w:val="208738A2"/>
    <w:rsid w:val="233C0B0E"/>
    <w:rsid w:val="23C067E9"/>
    <w:rsid w:val="23EA5E2B"/>
    <w:rsid w:val="24C72375"/>
    <w:rsid w:val="26031B48"/>
    <w:rsid w:val="2781049C"/>
    <w:rsid w:val="283B12AA"/>
    <w:rsid w:val="28C1248D"/>
    <w:rsid w:val="28CC0F87"/>
    <w:rsid w:val="2A9E5FA5"/>
    <w:rsid w:val="2C7C11A4"/>
    <w:rsid w:val="2E1A5474"/>
    <w:rsid w:val="31B42B11"/>
    <w:rsid w:val="32B33142"/>
    <w:rsid w:val="334A69F5"/>
    <w:rsid w:val="37932A80"/>
    <w:rsid w:val="37BE770C"/>
    <w:rsid w:val="38C761BC"/>
    <w:rsid w:val="397F210B"/>
    <w:rsid w:val="3A1D314B"/>
    <w:rsid w:val="3A2406C4"/>
    <w:rsid w:val="3B1C585E"/>
    <w:rsid w:val="3B8150CB"/>
    <w:rsid w:val="3D497D9C"/>
    <w:rsid w:val="3E2B081F"/>
    <w:rsid w:val="3E9802B9"/>
    <w:rsid w:val="3F5034CC"/>
    <w:rsid w:val="3F743656"/>
    <w:rsid w:val="40B729EB"/>
    <w:rsid w:val="40E6499C"/>
    <w:rsid w:val="438A3BFE"/>
    <w:rsid w:val="43E360B4"/>
    <w:rsid w:val="472323C2"/>
    <w:rsid w:val="473D1F50"/>
    <w:rsid w:val="48266938"/>
    <w:rsid w:val="496A643B"/>
    <w:rsid w:val="4AF3635C"/>
    <w:rsid w:val="4B03061A"/>
    <w:rsid w:val="4B34136C"/>
    <w:rsid w:val="4B6067E1"/>
    <w:rsid w:val="504D1525"/>
    <w:rsid w:val="50DD32B8"/>
    <w:rsid w:val="51074B3C"/>
    <w:rsid w:val="513C5D92"/>
    <w:rsid w:val="533169DB"/>
    <w:rsid w:val="53322358"/>
    <w:rsid w:val="551255F1"/>
    <w:rsid w:val="57155E9E"/>
    <w:rsid w:val="57346B2E"/>
    <w:rsid w:val="594F1863"/>
    <w:rsid w:val="5AAD0F9B"/>
    <w:rsid w:val="5AD30BEC"/>
    <w:rsid w:val="5F6059C1"/>
    <w:rsid w:val="5FEE4241"/>
    <w:rsid w:val="62563CDC"/>
    <w:rsid w:val="62811C76"/>
    <w:rsid w:val="632D4914"/>
    <w:rsid w:val="643D38D1"/>
    <w:rsid w:val="658C75BC"/>
    <w:rsid w:val="662F7BBF"/>
    <w:rsid w:val="6A067E9F"/>
    <w:rsid w:val="6AB22D2F"/>
    <w:rsid w:val="6B207ACC"/>
    <w:rsid w:val="6BE51771"/>
    <w:rsid w:val="6CA861B7"/>
    <w:rsid w:val="6E1F36FE"/>
    <w:rsid w:val="6E6E5E2F"/>
    <w:rsid w:val="6EB30419"/>
    <w:rsid w:val="709F05BE"/>
    <w:rsid w:val="71312EE7"/>
    <w:rsid w:val="71912D97"/>
    <w:rsid w:val="720D6F2E"/>
    <w:rsid w:val="773E627F"/>
    <w:rsid w:val="77AE696A"/>
    <w:rsid w:val="77FD7A10"/>
    <w:rsid w:val="783F315B"/>
    <w:rsid w:val="7A4B3DBD"/>
    <w:rsid w:val="7AE13498"/>
    <w:rsid w:val="7B8F537A"/>
    <w:rsid w:val="7C947270"/>
    <w:rsid w:val="7D074F5D"/>
    <w:rsid w:val="7D6E25FF"/>
    <w:rsid w:val="7E7D66C4"/>
    <w:rsid w:val="7F6A01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ind w:firstLine="200" w:firstLineChars="200"/>
      <w:jc w:val="left"/>
      <w:outlineLvl w:val="2"/>
    </w:pPr>
    <w:rPr>
      <w:rFonts w:eastAsia="仿宋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11"/>
    <w:basedOn w:val="5"/>
    <w:uiPriority w:val="0"/>
    <w:rPr>
      <w:rFonts w:hint="default"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9">
    <w:name w:val="font01"/>
    <w:basedOn w:val="5"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2018-01-24T01:04:00Z</dcterms:created>
  <dc:creator>- -</dc:creator>
  <cp:lastModifiedBy>- -</cp:lastModifiedBy>
  <dcterms:modified xsi:type="dcterms:W3CDTF">2018-01-24T06:22:51Z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